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52D" w:rsidRDefault="007F452D">
      <w:pPr>
        <w:spacing w:after="0" w:line="240" w:lineRule="auto"/>
        <w:ind w:left="284"/>
        <w:contextualSpacing/>
        <w:rPr>
          <w:rFonts w:ascii="Arial" w:hAnsi="Arial" w:cs="Arial"/>
          <w:b/>
          <w:sz w:val="24"/>
          <w:szCs w:val="24"/>
        </w:rPr>
      </w:pPr>
    </w:p>
    <w:p w:rsidR="007F452D" w:rsidRDefault="007F452D">
      <w:pPr>
        <w:spacing w:after="0" w:line="240" w:lineRule="auto"/>
        <w:ind w:left="284"/>
        <w:contextualSpacing/>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6007DF">
      <w:pPr>
        <w:spacing w:after="0" w:line="240" w:lineRule="auto"/>
        <w:ind w:left="284"/>
        <w:contextualSpacing/>
        <w:jc w:val="center"/>
        <w:rPr>
          <w:rFonts w:ascii="Arial" w:hAnsi="Arial" w:cs="Arial"/>
          <w:b/>
          <w:sz w:val="36"/>
          <w:szCs w:val="36"/>
        </w:rPr>
      </w:pPr>
      <w:r>
        <w:rPr>
          <w:rFonts w:ascii="Arial" w:hAnsi="Arial" w:cs="Arial"/>
          <w:b/>
          <w:sz w:val="36"/>
          <w:szCs w:val="36"/>
        </w:rPr>
        <w:t>Ein neuer Aufbruch für Europa</w:t>
      </w:r>
    </w:p>
    <w:p w:rsidR="007F452D" w:rsidRDefault="006007DF">
      <w:pPr>
        <w:spacing w:after="0" w:line="240" w:lineRule="auto"/>
        <w:ind w:left="284"/>
        <w:contextualSpacing/>
        <w:jc w:val="center"/>
        <w:rPr>
          <w:rFonts w:ascii="Arial" w:hAnsi="Arial" w:cs="Arial"/>
          <w:b/>
          <w:sz w:val="36"/>
          <w:szCs w:val="36"/>
        </w:rPr>
      </w:pPr>
      <w:r>
        <w:rPr>
          <w:rFonts w:ascii="Arial" w:hAnsi="Arial" w:cs="Arial"/>
          <w:b/>
          <w:sz w:val="36"/>
          <w:szCs w:val="36"/>
        </w:rPr>
        <w:t>Eine neue Dynamik für Deutschland</w:t>
      </w:r>
    </w:p>
    <w:p w:rsidR="007F452D" w:rsidRDefault="006007DF">
      <w:pPr>
        <w:spacing w:after="0" w:line="240" w:lineRule="auto"/>
        <w:ind w:left="284"/>
        <w:contextualSpacing/>
        <w:jc w:val="center"/>
        <w:rPr>
          <w:rFonts w:ascii="Arial" w:hAnsi="Arial" w:cs="Arial"/>
          <w:b/>
          <w:sz w:val="36"/>
          <w:szCs w:val="36"/>
        </w:rPr>
      </w:pPr>
      <w:r>
        <w:rPr>
          <w:rFonts w:ascii="Arial" w:hAnsi="Arial" w:cs="Arial"/>
          <w:b/>
          <w:sz w:val="36"/>
          <w:szCs w:val="36"/>
        </w:rPr>
        <w:t>Ein neuer Zusammenhalt für unser Land</w:t>
      </w:r>
    </w:p>
    <w:p w:rsidR="007F452D" w:rsidRDefault="007F452D">
      <w:pPr>
        <w:spacing w:after="0" w:line="240" w:lineRule="auto"/>
        <w:ind w:left="284"/>
        <w:contextualSpacing/>
        <w:jc w:val="center"/>
        <w:rPr>
          <w:rFonts w:ascii="Arial" w:hAnsi="Arial" w:cs="Arial"/>
          <w:b/>
          <w:sz w:val="36"/>
          <w:szCs w:val="36"/>
        </w:rPr>
      </w:pPr>
    </w:p>
    <w:p w:rsidR="007F452D" w:rsidRDefault="006007DF">
      <w:pPr>
        <w:spacing w:after="0" w:line="240" w:lineRule="auto"/>
        <w:ind w:left="284"/>
        <w:contextualSpacing/>
        <w:jc w:val="center"/>
        <w:rPr>
          <w:rFonts w:ascii="Arial" w:hAnsi="Arial" w:cs="Arial"/>
          <w:b/>
          <w:sz w:val="28"/>
          <w:szCs w:val="28"/>
        </w:rPr>
      </w:pPr>
      <w:r>
        <w:rPr>
          <w:rFonts w:ascii="Arial" w:hAnsi="Arial" w:cs="Arial"/>
          <w:b/>
          <w:sz w:val="28"/>
          <w:szCs w:val="28"/>
        </w:rPr>
        <w:t>Koalitionsvertrag</w:t>
      </w:r>
    </w:p>
    <w:p w:rsidR="007F452D" w:rsidRDefault="006007DF">
      <w:pPr>
        <w:spacing w:after="0" w:line="240" w:lineRule="auto"/>
        <w:ind w:left="284"/>
        <w:contextualSpacing/>
        <w:jc w:val="center"/>
        <w:rPr>
          <w:rFonts w:ascii="Arial" w:hAnsi="Arial" w:cs="Arial"/>
          <w:b/>
          <w:sz w:val="28"/>
          <w:szCs w:val="28"/>
        </w:rPr>
      </w:pPr>
      <w:r>
        <w:rPr>
          <w:rFonts w:ascii="Arial" w:hAnsi="Arial" w:cs="Arial"/>
          <w:b/>
          <w:sz w:val="28"/>
          <w:szCs w:val="28"/>
        </w:rPr>
        <w:t>zwischen</w:t>
      </w:r>
    </w:p>
    <w:p w:rsidR="007F452D" w:rsidRDefault="006007DF">
      <w:pPr>
        <w:spacing w:after="0" w:line="240" w:lineRule="auto"/>
        <w:ind w:left="284"/>
        <w:contextualSpacing/>
        <w:jc w:val="center"/>
        <w:rPr>
          <w:rFonts w:ascii="Arial" w:hAnsi="Arial" w:cs="Arial"/>
          <w:b/>
          <w:sz w:val="28"/>
          <w:szCs w:val="28"/>
        </w:rPr>
      </w:pPr>
      <w:r>
        <w:rPr>
          <w:rFonts w:ascii="Arial" w:hAnsi="Arial" w:cs="Arial"/>
          <w:b/>
          <w:sz w:val="28"/>
          <w:szCs w:val="28"/>
        </w:rPr>
        <w:t>CDU, CSU und SPD</w:t>
      </w:r>
    </w:p>
    <w:p w:rsidR="007F452D" w:rsidRDefault="007F452D">
      <w:pPr>
        <w:spacing w:after="0" w:line="240" w:lineRule="auto"/>
        <w:ind w:left="284"/>
        <w:contextualSpacing/>
        <w:jc w:val="center"/>
        <w:rPr>
          <w:rFonts w:ascii="Arial" w:hAnsi="Arial" w:cs="Arial"/>
          <w:b/>
          <w:sz w:val="24"/>
          <w:szCs w:val="24"/>
        </w:rPr>
      </w:pPr>
    </w:p>
    <w:p w:rsidR="00D10046" w:rsidRPr="00D10046" w:rsidRDefault="00D10046">
      <w:pPr>
        <w:spacing w:after="0" w:line="240" w:lineRule="auto"/>
        <w:ind w:left="284"/>
        <w:contextualSpacing/>
        <w:jc w:val="center"/>
        <w:rPr>
          <w:rFonts w:ascii="Arial" w:hAnsi="Arial" w:cs="Arial"/>
          <w:b/>
          <w:sz w:val="28"/>
          <w:szCs w:val="28"/>
        </w:rPr>
      </w:pPr>
      <w:r w:rsidRPr="00D10046">
        <w:rPr>
          <w:rFonts w:ascii="Arial" w:hAnsi="Arial" w:cs="Arial"/>
          <w:b/>
          <w:sz w:val="28"/>
          <w:szCs w:val="28"/>
        </w:rPr>
        <w:t>19. Legislaturperiode</w:t>
      </w: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7F452D">
      <w:pPr>
        <w:spacing w:after="0" w:line="240" w:lineRule="auto"/>
        <w:ind w:left="284"/>
        <w:contextualSpacing/>
        <w:jc w:val="center"/>
        <w:rPr>
          <w:rFonts w:ascii="Arial" w:hAnsi="Arial" w:cs="Arial"/>
          <w:b/>
          <w:sz w:val="24"/>
          <w:szCs w:val="24"/>
        </w:rPr>
      </w:pPr>
    </w:p>
    <w:p w:rsidR="007F452D" w:rsidRDefault="006007DF">
      <w:pPr>
        <w:spacing w:after="0" w:line="240" w:lineRule="auto"/>
        <w:ind w:left="284"/>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br w:type="page"/>
      </w:r>
    </w:p>
    <w:sdt>
      <w:sdtPr>
        <w:rPr>
          <w:rFonts w:ascii="Arial" w:eastAsiaTheme="minorHAnsi" w:hAnsi="Arial" w:cs="Arial"/>
          <w:b w:val="0"/>
          <w:bCs w:val="0"/>
          <w:color w:val="auto"/>
          <w:sz w:val="24"/>
          <w:szCs w:val="24"/>
          <w:lang w:eastAsia="en-US"/>
        </w:rPr>
        <w:id w:val="1991593937"/>
        <w:docPartObj>
          <w:docPartGallery w:val="Table of Contents"/>
          <w:docPartUnique/>
        </w:docPartObj>
      </w:sdtPr>
      <w:sdtEndPr/>
      <w:sdtContent>
        <w:p w:rsidR="007F452D" w:rsidRPr="00872B39" w:rsidRDefault="006007DF">
          <w:pPr>
            <w:pStyle w:val="Inhaltsverzeichnisberschrift"/>
            <w:spacing w:before="0" w:line="240" w:lineRule="auto"/>
            <w:contextualSpacing/>
            <w:rPr>
              <w:rFonts w:ascii="Arial" w:hAnsi="Arial" w:cs="Arial"/>
              <w:color w:val="auto"/>
              <w:sz w:val="24"/>
              <w:szCs w:val="24"/>
            </w:rPr>
          </w:pPr>
          <w:r w:rsidRPr="00872B39">
            <w:rPr>
              <w:rFonts w:ascii="Arial" w:hAnsi="Arial" w:cs="Arial"/>
              <w:color w:val="auto"/>
              <w:sz w:val="24"/>
              <w:szCs w:val="24"/>
            </w:rPr>
            <w:t>Inhalt</w:t>
          </w:r>
        </w:p>
        <w:p w:rsidR="007F452D" w:rsidRPr="00872B39" w:rsidRDefault="006007DF">
          <w:pPr>
            <w:pStyle w:val="Verzeichnis1"/>
            <w:rPr>
              <w:rFonts w:ascii="Arial" w:eastAsiaTheme="minorEastAsia" w:hAnsi="Arial" w:cs="Arial"/>
              <w:b w:val="0"/>
              <w:bCs w:val="0"/>
              <w:noProof/>
              <w:sz w:val="22"/>
              <w:szCs w:val="22"/>
              <w:lang w:eastAsia="de-DE"/>
            </w:rPr>
          </w:pPr>
          <w:r w:rsidRPr="00872B39">
            <w:rPr>
              <w:rFonts w:ascii="Arial" w:hAnsi="Arial" w:cs="Arial"/>
            </w:rPr>
            <w:fldChar w:fldCharType="begin"/>
          </w:r>
          <w:r w:rsidRPr="00872B39">
            <w:rPr>
              <w:rFonts w:ascii="Arial" w:hAnsi="Arial" w:cs="Arial"/>
            </w:rPr>
            <w:instrText xml:space="preserve"> TOC \o "1-2" \h \z \u </w:instrText>
          </w:r>
          <w:r w:rsidRPr="00872B39">
            <w:rPr>
              <w:rFonts w:ascii="Arial" w:hAnsi="Arial" w:cs="Arial"/>
            </w:rPr>
            <w:fldChar w:fldCharType="separate"/>
          </w:r>
          <w:hyperlink w:anchor="_Toc505767138" w:history="1">
            <w:r w:rsidRPr="00872B39">
              <w:rPr>
                <w:rStyle w:val="Hyperlink"/>
                <w:rFonts w:ascii="Arial" w:hAnsi="Arial" w:cs="Arial"/>
                <w:noProof/>
              </w:rPr>
              <w:t>Präambel</w:t>
            </w:r>
            <w:r w:rsidRPr="00872B39">
              <w:rPr>
                <w:rFonts w:ascii="Arial" w:hAnsi="Arial" w:cs="Arial"/>
                <w:noProof/>
                <w:webHidden/>
              </w:rPr>
              <w:tab/>
            </w:r>
            <w:r w:rsidRPr="00872B39">
              <w:rPr>
                <w:rFonts w:ascii="Arial" w:hAnsi="Arial" w:cs="Arial"/>
                <w:noProof/>
                <w:webHidden/>
              </w:rPr>
              <w:fldChar w:fldCharType="begin"/>
            </w:r>
            <w:r w:rsidRPr="00872B39">
              <w:rPr>
                <w:rFonts w:ascii="Arial" w:hAnsi="Arial" w:cs="Arial"/>
                <w:noProof/>
                <w:webHidden/>
              </w:rPr>
              <w:instrText xml:space="preserve"> PAGEREF _Toc505767138 \h </w:instrText>
            </w:r>
            <w:r w:rsidRPr="00872B39">
              <w:rPr>
                <w:rFonts w:ascii="Arial" w:hAnsi="Arial" w:cs="Arial"/>
                <w:noProof/>
                <w:webHidden/>
              </w:rPr>
            </w:r>
            <w:r w:rsidRPr="00872B39">
              <w:rPr>
                <w:rFonts w:ascii="Arial" w:hAnsi="Arial" w:cs="Arial"/>
                <w:noProof/>
                <w:webHidden/>
              </w:rPr>
              <w:fldChar w:fldCharType="separate"/>
            </w:r>
            <w:r w:rsidR="00C52EEB">
              <w:rPr>
                <w:rFonts w:ascii="Arial" w:hAnsi="Arial" w:cs="Arial"/>
                <w:noProof/>
                <w:webHidden/>
              </w:rPr>
              <w:t>4</w:t>
            </w:r>
            <w:r w:rsidRPr="00872B39">
              <w:rPr>
                <w:rFonts w:ascii="Arial" w:hAnsi="Arial" w:cs="Arial"/>
                <w:noProof/>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39" w:history="1">
            <w:r w:rsidR="006007DF" w:rsidRPr="00872B39">
              <w:rPr>
                <w:rStyle w:val="Hyperlink"/>
                <w:rFonts w:ascii="Arial" w:hAnsi="Arial" w:cs="Arial"/>
                <w:noProof/>
              </w:rPr>
              <w:t>I.</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Ein neuer Aufbruch für Europa</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_Toc505767139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6</w:t>
            </w:r>
            <w:r w:rsidR="006007DF" w:rsidRPr="00872B39">
              <w:rPr>
                <w:rFonts w:ascii="Arial" w:hAnsi="Arial" w:cs="Arial"/>
                <w:noProof/>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40" w:history="1">
            <w:r w:rsidR="006007DF" w:rsidRPr="00872B39">
              <w:rPr>
                <w:rStyle w:val="Hyperlink"/>
                <w:rFonts w:ascii="Arial" w:hAnsi="Arial" w:cs="Arial"/>
                <w:noProof/>
              </w:rPr>
              <w:t>II.</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Eine neue Dynamik für Deutschland</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_Toc505767140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11</w:t>
            </w:r>
            <w:r w:rsidR="006007DF" w:rsidRPr="00872B39">
              <w:rPr>
                <w:rFonts w:ascii="Arial" w:hAnsi="Arial" w:cs="Arial"/>
                <w:noProof/>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41" w:history="1">
            <w:r w:rsidR="006007DF" w:rsidRPr="00872B39">
              <w:rPr>
                <w:rStyle w:val="Hyperlink"/>
                <w:rFonts w:ascii="Arial" w:hAnsi="Arial" w:cs="Arial"/>
                <w:noProof/>
              </w:rPr>
              <w:t>III.</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Familien und Kinder im Mittelpunkt</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_Toc505767141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19</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42"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Familien</w:t>
            </w:r>
            <w:r w:rsidR="006007DF" w:rsidRPr="00872B39">
              <w:rPr>
                <w:webHidden/>
              </w:rPr>
              <w:tab/>
            </w:r>
            <w:r w:rsidR="006007DF" w:rsidRPr="00872B39">
              <w:rPr>
                <w:webHidden/>
              </w:rPr>
              <w:fldChar w:fldCharType="begin"/>
            </w:r>
            <w:r w:rsidR="006007DF" w:rsidRPr="00872B39">
              <w:rPr>
                <w:webHidden/>
              </w:rPr>
              <w:instrText xml:space="preserve"> PAGEREF _Toc505767142 \h </w:instrText>
            </w:r>
            <w:r w:rsidR="006007DF" w:rsidRPr="00872B39">
              <w:rPr>
                <w:webHidden/>
              </w:rPr>
            </w:r>
            <w:r w:rsidR="006007DF" w:rsidRPr="00872B39">
              <w:rPr>
                <w:webHidden/>
              </w:rPr>
              <w:fldChar w:fldCharType="separate"/>
            </w:r>
            <w:r w:rsidR="00C52EEB">
              <w:rPr>
                <w:webHidden/>
              </w:rPr>
              <w:t>19</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43"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Kinder stärken – Kinderrechte ins Grundgesetz</w:t>
            </w:r>
            <w:r w:rsidR="006007DF" w:rsidRPr="00872B39">
              <w:rPr>
                <w:webHidden/>
              </w:rPr>
              <w:tab/>
            </w:r>
            <w:r w:rsidR="006007DF" w:rsidRPr="00872B39">
              <w:rPr>
                <w:webHidden/>
              </w:rPr>
              <w:fldChar w:fldCharType="begin"/>
            </w:r>
            <w:r w:rsidR="006007DF" w:rsidRPr="00872B39">
              <w:rPr>
                <w:webHidden/>
              </w:rPr>
              <w:instrText xml:space="preserve"> PAGEREF _Toc505767143 \h </w:instrText>
            </w:r>
            <w:r w:rsidR="006007DF" w:rsidRPr="00872B39">
              <w:rPr>
                <w:webHidden/>
              </w:rPr>
            </w:r>
            <w:r w:rsidR="006007DF" w:rsidRPr="00872B39">
              <w:rPr>
                <w:webHidden/>
              </w:rPr>
              <w:fldChar w:fldCharType="separate"/>
            </w:r>
            <w:r w:rsidR="00C52EEB">
              <w:rPr>
                <w:webHidden/>
              </w:rPr>
              <w:t>21</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44" w:history="1">
            <w:r w:rsidR="006007DF" w:rsidRPr="00872B39">
              <w:rPr>
                <w:rStyle w:val="Hyperlink"/>
              </w:rPr>
              <w:t>3.</w:t>
            </w:r>
            <w:r w:rsidR="006007DF" w:rsidRPr="00872B39">
              <w:rPr>
                <w:rFonts w:eastAsiaTheme="minorEastAsia"/>
                <w:i w:val="0"/>
                <w:iCs w:val="0"/>
                <w:sz w:val="22"/>
                <w:szCs w:val="22"/>
                <w:lang w:eastAsia="de-DE"/>
              </w:rPr>
              <w:tab/>
            </w:r>
            <w:r w:rsidR="006007DF" w:rsidRPr="00872B39">
              <w:rPr>
                <w:rStyle w:val="Hyperlink"/>
              </w:rPr>
              <w:t>Gleichberechtigung von Frauen und Männern</w:t>
            </w:r>
            <w:r w:rsidR="006007DF" w:rsidRPr="00872B39">
              <w:rPr>
                <w:webHidden/>
              </w:rPr>
              <w:tab/>
            </w:r>
            <w:r w:rsidR="006007DF" w:rsidRPr="00872B39">
              <w:rPr>
                <w:webHidden/>
              </w:rPr>
              <w:fldChar w:fldCharType="begin"/>
            </w:r>
            <w:r w:rsidR="006007DF" w:rsidRPr="00872B39">
              <w:rPr>
                <w:webHidden/>
              </w:rPr>
              <w:instrText xml:space="preserve"> PAGEREF _Toc505767144 \h </w:instrText>
            </w:r>
            <w:r w:rsidR="006007DF" w:rsidRPr="00872B39">
              <w:rPr>
                <w:webHidden/>
              </w:rPr>
            </w:r>
            <w:r w:rsidR="006007DF" w:rsidRPr="00872B39">
              <w:rPr>
                <w:webHidden/>
              </w:rPr>
              <w:fldChar w:fldCharType="separate"/>
            </w:r>
            <w:r w:rsidR="00C52EEB">
              <w:rPr>
                <w:webHidden/>
              </w:rPr>
              <w:t>23</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45" w:history="1">
            <w:r w:rsidR="006007DF" w:rsidRPr="00872B39">
              <w:rPr>
                <w:rStyle w:val="Hyperlink"/>
              </w:rPr>
              <w:t>4.</w:t>
            </w:r>
            <w:r w:rsidR="006007DF" w:rsidRPr="00872B39">
              <w:rPr>
                <w:rFonts w:eastAsiaTheme="minorEastAsia"/>
                <w:i w:val="0"/>
                <w:iCs w:val="0"/>
                <w:sz w:val="22"/>
                <w:szCs w:val="22"/>
                <w:lang w:eastAsia="de-DE"/>
              </w:rPr>
              <w:tab/>
            </w:r>
            <w:r w:rsidR="006007DF" w:rsidRPr="00872B39">
              <w:rPr>
                <w:rStyle w:val="Hyperlink"/>
              </w:rPr>
              <w:t>Bekämpfung von Gewalt gegenüber Frauen und ihren Kindern</w:t>
            </w:r>
            <w:r w:rsidR="006007DF" w:rsidRPr="00872B39">
              <w:rPr>
                <w:webHidden/>
              </w:rPr>
              <w:tab/>
            </w:r>
            <w:r w:rsidR="006007DF" w:rsidRPr="00872B39">
              <w:rPr>
                <w:webHidden/>
              </w:rPr>
              <w:fldChar w:fldCharType="begin"/>
            </w:r>
            <w:r w:rsidR="006007DF" w:rsidRPr="00872B39">
              <w:rPr>
                <w:webHidden/>
              </w:rPr>
              <w:instrText xml:space="preserve"> PAGEREF _Toc505767145 \h </w:instrText>
            </w:r>
            <w:r w:rsidR="006007DF" w:rsidRPr="00872B39">
              <w:rPr>
                <w:webHidden/>
              </w:rPr>
            </w:r>
            <w:r w:rsidR="006007DF" w:rsidRPr="00872B39">
              <w:rPr>
                <w:webHidden/>
              </w:rPr>
              <w:fldChar w:fldCharType="separate"/>
            </w:r>
            <w:r w:rsidR="00C52EEB">
              <w:rPr>
                <w:webHidden/>
              </w:rPr>
              <w:t>25</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46" w:history="1">
            <w:r w:rsidR="006007DF" w:rsidRPr="00872B39">
              <w:rPr>
                <w:rStyle w:val="Hyperlink"/>
              </w:rPr>
              <w:t>5.</w:t>
            </w:r>
            <w:r w:rsidR="006007DF" w:rsidRPr="00872B39">
              <w:rPr>
                <w:rFonts w:eastAsiaTheme="minorEastAsia"/>
                <w:i w:val="0"/>
                <w:iCs w:val="0"/>
                <w:sz w:val="22"/>
                <w:szCs w:val="22"/>
                <w:lang w:eastAsia="de-DE"/>
              </w:rPr>
              <w:tab/>
            </w:r>
            <w:r w:rsidR="006007DF" w:rsidRPr="00872B39">
              <w:rPr>
                <w:rStyle w:val="Hyperlink"/>
              </w:rPr>
              <w:t>Seniorinnen und Senioren</w:t>
            </w:r>
            <w:r w:rsidR="006007DF" w:rsidRPr="00872B39">
              <w:rPr>
                <w:webHidden/>
              </w:rPr>
              <w:tab/>
            </w:r>
            <w:r w:rsidR="006007DF" w:rsidRPr="00872B39">
              <w:rPr>
                <w:webHidden/>
              </w:rPr>
              <w:fldChar w:fldCharType="begin"/>
            </w:r>
            <w:r w:rsidR="006007DF" w:rsidRPr="00872B39">
              <w:rPr>
                <w:webHidden/>
              </w:rPr>
              <w:instrText xml:space="preserve"> PAGEREF _Toc505767146 \h </w:instrText>
            </w:r>
            <w:r w:rsidR="006007DF" w:rsidRPr="00872B39">
              <w:rPr>
                <w:webHidden/>
              </w:rPr>
            </w:r>
            <w:r w:rsidR="006007DF" w:rsidRPr="00872B39">
              <w:rPr>
                <w:webHidden/>
              </w:rPr>
              <w:fldChar w:fldCharType="separate"/>
            </w:r>
            <w:r w:rsidR="00C52EEB">
              <w:rPr>
                <w:webHidden/>
              </w:rPr>
              <w:t>26</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47" w:history="1">
            <w:r w:rsidR="006007DF" w:rsidRPr="00872B39">
              <w:rPr>
                <w:rStyle w:val="Hyperlink"/>
                <w:rFonts w:ascii="Arial" w:hAnsi="Arial" w:cs="Arial"/>
                <w:noProof/>
              </w:rPr>
              <w:t>IV.</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Offensive für Bildung, Forschung und Digitalisierung</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_Toc505767147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28</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48"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Allgemeine Bildung und Schulen</w:t>
            </w:r>
            <w:r w:rsidR="006007DF" w:rsidRPr="00872B39">
              <w:rPr>
                <w:webHidden/>
              </w:rPr>
              <w:tab/>
            </w:r>
            <w:r w:rsidR="006007DF" w:rsidRPr="00872B39">
              <w:rPr>
                <w:webHidden/>
              </w:rPr>
              <w:fldChar w:fldCharType="begin"/>
            </w:r>
            <w:r w:rsidR="006007DF" w:rsidRPr="00872B39">
              <w:rPr>
                <w:webHidden/>
              </w:rPr>
              <w:instrText xml:space="preserve"> PAGEREF _Toc505767148 \h </w:instrText>
            </w:r>
            <w:r w:rsidR="006007DF" w:rsidRPr="00872B39">
              <w:rPr>
                <w:webHidden/>
              </w:rPr>
            </w:r>
            <w:r w:rsidR="006007DF" w:rsidRPr="00872B39">
              <w:rPr>
                <w:webHidden/>
              </w:rPr>
              <w:fldChar w:fldCharType="separate"/>
            </w:r>
            <w:r w:rsidR="00C52EEB">
              <w:rPr>
                <w:webHidden/>
              </w:rPr>
              <w:t>28</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49"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Berufliche Bildung und Weiterbildung</w:t>
            </w:r>
            <w:r w:rsidR="006007DF" w:rsidRPr="00872B39">
              <w:rPr>
                <w:webHidden/>
              </w:rPr>
              <w:tab/>
            </w:r>
            <w:r w:rsidR="006007DF" w:rsidRPr="00872B39">
              <w:rPr>
                <w:webHidden/>
              </w:rPr>
              <w:fldChar w:fldCharType="begin"/>
            </w:r>
            <w:r w:rsidR="006007DF" w:rsidRPr="00872B39">
              <w:rPr>
                <w:webHidden/>
              </w:rPr>
              <w:instrText xml:space="preserve"> PAGEREF _Toc505767149 \h </w:instrText>
            </w:r>
            <w:r w:rsidR="006007DF" w:rsidRPr="00872B39">
              <w:rPr>
                <w:webHidden/>
              </w:rPr>
            </w:r>
            <w:r w:rsidR="006007DF" w:rsidRPr="00872B39">
              <w:rPr>
                <w:webHidden/>
              </w:rPr>
              <w:fldChar w:fldCharType="separate"/>
            </w:r>
            <w:r w:rsidR="00C52EEB">
              <w:rPr>
                <w:webHidden/>
              </w:rPr>
              <w:t>29</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50" w:history="1">
            <w:r w:rsidR="006007DF" w:rsidRPr="00872B39">
              <w:rPr>
                <w:rStyle w:val="Hyperlink"/>
              </w:rPr>
              <w:t>3.</w:t>
            </w:r>
            <w:r w:rsidR="006007DF" w:rsidRPr="00872B39">
              <w:rPr>
                <w:rFonts w:eastAsiaTheme="minorEastAsia"/>
                <w:i w:val="0"/>
                <w:iCs w:val="0"/>
                <w:sz w:val="22"/>
                <w:szCs w:val="22"/>
                <w:lang w:eastAsia="de-DE"/>
              </w:rPr>
              <w:tab/>
            </w:r>
            <w:r w:rsidR="006007DF" w:rsidRPr="00872B39">
              <w:rPr>
                <w:rStyle w:val="Hyperlink"/>
              </w:rPr>
              <w:t>Hochschulen und Wissenschaft</w:t>
            </w:r>
            <w:r w:rsidR="006007DF" w:rsidRPr="00872B39">
              <w:rPr>
                <w:webHidden/>
              </w:rPr>
              <w:tab/>
            </w:r>
            <w:r w:rsidR="006007DF" w:rsidRPr="00872B39">
              <w:rPr>
                <w:webHidden/>
              </w:rPr>
              <w:fldChar w:fldCharType="begin"/>
            </w:r>
            <w:r w:rsidR="006007DF" w:rsidRPr="00872B39">
              <w:rPr>
                <w:webHidden/>
              </w:rPr>
              <w:instrText xml:space="preserve"> PAGEREF _Toc505767150 \h </w:instrText>
            </w:r>
            <w:r w:rsidR="006007DF" w:rsidRPr="00872B39">
              <w:rPr>
                <w:webHidden/>
              </w:rPr>
            </w:r>
            <w:r w:rsidR="006007DF" w:rsidRPr="00872B39">
              <w:rPr>
                <w:webHidden/>
              </w:rPr>
              <w:fldChar w:fldCharType="separate"/>
            </w:r>
            <w:r w:rsidR="00C52EEB">
              <w:rPr>
                <w:webHidden/>
              </w:rPr>
              <w:t>32</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51" w:history="1">
            <w:r w:rsidR="006007DF" w:rsidRPr="00872B39">
              <w:rPr>
                <w:rStyle w:val="Hyperlink"/>
              </w:rPr>
              <w:t>4.</w:t>
            </w:r>
            <w:r w:rsidR="006007DF" w:rsidRPr="00872B39">
              <w:rPr>
                <w:rFonts w:eastAsiaTheme="minorEastAsia"/>
                <w:i w:val="0"/>
                <w:iCs w:val="0"/>
                <w:sz w:val="22"/>
                <w:szCs w:val="22"/>
                <w:lang w:eastAsia="de-DE"/>
              </w:rPr>
              <w:tab/>
            </w:r>
            <w:r w:rsidR="006007DF" w:rsidRPr="00872B39">
              <w:rPr>
                <w:rStyle w:val="Hyperlink"/>
              </w:rPr>
              <w:t>Forschung und Innovation</w:t>
            </w:r>
            <w:r w:rsidR="006007DF" w:rsidRPr="00872B39">
              <w:rPr>
                <w:webHidden/>
              </w:rPr>
              <w:tab/>
            </w:r>
            <w:r w:rsidR="006007DF" w:rsidRPr="00872B39">
              <w:rPr>
                <w:webHidden/>
              </w:rPr>
              <w:fldChar w:fldCharType="begin"/>
            </w:r>
            <w:r w:rsidR="006007DF" w:rsidRPr="00872B39">
              <w:rPr>
                <w:webHidden/>
              </w:rPr>
              <w:instrText xml:space="preserve"> PAGEREF _Toc505767151 \h </w:instrText>
            </w:r>
            <w:r w:rsidR="006007DF" w:rsidRPr="00872B39">
              <w:rPr>
                <w:webHidden/>
              </w:rPr>
            </w:r>
            <w:r w:rsidR="006007DF" w:rsidRPr="00872B39">
              <w:rPr>
                <w:webHidden/>
              </w:rPr>
              <w:fldChar w:fldCharType="separate"/>
            </w:r>
            <w:r w:rsidR="00C52EEB">
              <w:rPr>
                <w:webHidden/>
              </w:rPr>
              <w:t>34</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52" w:history="1">
            <w:r w:rsidR="006007DF" w:rsidRPr="00872B39">
              <w:rPr>
                <w:rStyle w:val="Hyperlink"/>
              </w:rPr>
              <w:t>5.</w:t>
            </w:r>
            <w:r w:rsidR="006007DF" w:rsidRPr="00872B39">
              <w:rPr>
                <w:rFonts w:eastAsiaTheme="minorEastAsia"/>
                <w:i w:val="0"/>
                <w:iCs w:val="0"/>
                <w:sz w:val="22"/>
                <w:szCs w:val="22"/>
                <w:lang w:eastAsia="de-DE"/>
              </w:rPr>
              <w:tab/>
            </w:r>
            <w:r w:rsidR="006007DF" w:rsidRPr="00872B39">
              <w:rPr>
                <w:rStyle w:val="Hyperlink"/>
              </w:rPr>
              <w:t>Digitalisierung</w:t>
            </w:r>
            <w:r w:rsidR="006007DF" w:rsidRPr="00872B39">
              <w:rPr>
                <w:webHidden/>
              </w:rPr>
              <w:tab/>
            </w:r>
            <w:r w:rsidR="006007DF" w:rsidRPr="00872B39">
              <w:rPr>
                <w:webHidden/>
              </w:rPr>
              <w:fldChar w:fldCharType="begin"/>
            </w:r>
            <w:r w:rsidR="006007DF" w:rsidRPr="00872B39">
              <w:rPr>
                <w:webHidden/>
              </w:rPr>
              <w:instrText xml:space="preserve"> PAGEREF _Toc505767152 \h </w:instrText>
            </w:r>
            <w:r w:rsidR="006007DF" w:rsidRPr="00872B39">
              <w:rPr>
                <w:webHidden/>
              </w:rPr>
            </w:r>
            <w:r w:rsidR="006007DF" w:rsidRPr="00872B39">
              <w:rPr>
                <w:webHidden/>
              </w:rPr>
              <w:fldChar w:fldCharType="separate"/>
            </w:r>
            <w:r w:rsidR="00C52EEB">
              <w:rPr>
                <w:webHidden/>
              </w:rPr>
              <w:t>37</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53" w:history="1">
            <w:r w:rsidR="006007DF" w:rsidRPr="00872B39">
              <w:rPr>
                <w:rStyle w:val="Hyperlink"/>
                <w:rFonts w:ascii="Arial" w:hAnsi="Arial" w:cs="Arial"/>
                <w:noProof/>
              </w:rPr>
              <w:t>V.</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Gute Arbeit, breite Entlastung und soziale Teilhabe sichern</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_Toc505767153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50</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54"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Gute Arbeit</w:t>
            </w:r>
            <w:r w:rsidR="006007DF" w:rsidRPr="00872B39">
              <w:rPr>
                <w:webHidden/>
              </w:rPr>
              <w:tab/>
            </w:r>
            <w:r w:rsidR="006007DF" w:rsidRPr="00872B39">
              <w:rPr>
                <w:webHidden/>
              </w:rPr>
              <w:fldChar w:fldCharType="begin"/>
            </w:r>
            <w:r w:rsidR="006007DF" w:rsidRPr="00872B39">
              <w:rPr>
                <w:webHidden/>
              </w:rPr>
              <w:instrText xml:space="preserve"> PAGEREF _Toc505767154 \h </w:instrText>
            </w:r>
            <w:r w:rsidR="006007DF" w:rsidRPr="00872B39">
              <w:rPr>
                <w:webHidden/>
              </w:rPr>
            </w:r>
            <w:r w:rsidR="006007DF" w:rsidRPr="00872B39">
              <w:rPr>
                <w:webHidden/>
              </w:rPr>
              <w:fldChar w:fldCharType="separate"/>
            </w:r>
            <w:r w:rsidR="00C52EEB">
              <w:rPr>
                <w:webHidden/>
              </w:rPr>
              <w:t>50</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55"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Entlastung der Bürgerinnen und Bürger bei Steuern und Sozialabgaben</w:t>
            </w:r>
            <w:r w:rsidR="006007DF" w:rsidRPr="00872B39">
              <w:rPr>
                <w:webHidden/>
              </w:rPr>
              <w:tab/>
            </w:r>
            <w:r w:rsidR="006007DF" w:rsidRPr="00872B39">
              <w:rPr>
                <w:webHidden/>
              </w:rPr>
              <w:fldChar w:fldCharType="begin"/>
            </w:r>
            <w:r w:rsidR="006007DF" w:rsidRPr="00872B39">
              <w:rPr>
                <w:webHidden/>
              </w:rPr>
              <w:instrText xml:space="preserve"> PAGEREF _Toc505767155 \h </w:instrText>
            </w:r>
            <w:r w:rsidR="006007DF" w:rsidRPr="00872B39">
              <w:rPr>
                <w:webHidden/>
              </w:rPr>
            </w:r>
            <w:r w:rsidR="006007DF" w:rsidRPr="00872B39">
              <w:rPr>
                <w:webHidden/>
              </w:rPr>
              <w:fldChar w:fldCharType="separate"/>
            </w:r>
            <w:r w:rsidR="00C52EEB">
              <w:rPr>
                <w:webHidden/>
              </w:rPr>
              <w:t>53</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56" w:history="1">
            <w:r w:rsidR="006007DF" w:rsidRPr="00872B39">
              <w:rPr>
                <w:rStyle w:val="Hyperlink"/>
                <w:rFonts w:ascii="Arial" w:hAnsi="Arial" w:cs="Arial"/>
                <w:noProof/>
              </w:rPr>
              <w:t>VI.</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Erfolgreiche Wirtschaft für den Wohlstand von morgen</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_Toc505767156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55</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57"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Wirtschaft</w:t>
            </w:r>
            <w:r w:rsidR="006007DF" w:rsidRPr="00872B39">
              <w:rPr>
                <w:webHidden/>
              </w:rPr>
              <w:tab/>
            </w:r>
            <w:r w:rsidR="006007DF" w:rsidRPr="00872B39">
              <w:rPr>
                <w:webHidden/>
              </w:rPr>
              <w:fldChar w:fldCharType="begin"/>
            </w:r>
            <w:r w:rsidR="006007DF" w:rsidRPr="00872B39">
              <w:rPr>
                <w:webHidden/>
              </w:rPr>
              <w:instrText xml:space="preserve"> PAGEREF _Toc505767157 \h </w:instrText>
            </w:r>
            <w:r w:rsidR="006007DF" w:rsidRPr="00872B39">
              <w:rPr>
                <w:webHidden/>
              </w:rPr>
            </w:r>
            <w:r w:rsidR="006007DF" w:rsidRPr="00872B39">
              <w:rPr>
                <w:webHidden/>
              </w:rPr>
              <w:fldChar w:fldCharType="separate"/>
            </w:r>
            <w:r w:rsidR="00C52EEB">
              <w:rPr>
                <w:webHidden/>
              </w:rPr>
              <w:t>55</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58"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Finanzen und Steuern</w:t>
            </w:r>
            <w:r w:rsidR="006007DF" w:rsidRPr="00872B39">
              <w:rPr>
                <w:webHidden/>
              </w:rPr>
              <w:tab/>
            </w:r>
            <w:r w:rsidR="006007DF" w:rsidRPr="00872B39">
              <w:rPr>
                <w:webHidden/>
              </w:rPr>
              <w:fldChar w:fldCharType="begin"/>
            </w:r>
            <w:r w:rsidR="006007DF" w:rsidRPr="00872B39">
              <w:rPr>
                <w:webHidden/>
              </w:rPr>
              <w:instrText xml:space="preserve"> PAGEREF _Toc505767158 \h </w:instrText>
            </w:r>
            <w:r w:rsidR="006007DF" w:rsidRPr="00872B39">
              <w:rPr>
                <w:webHidden/>
              </w:rPr>
            </w:r>
            <w:r w:rsidR="006007DF" w:rsidRPr="00872B39">
              <w:rPr>
                <w:webHidden/>
              </w:rPr>
              <w:fldChar w:fldCharType="separate"/>
            </w:r>
            <w:r w:rsidR="00C52EEB">
              <w:rPr>
                <w:webHidden/>
              </w:rPr>
              <w:t>66</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59" w:history="1">
            <w:r w:rsidR="006007DF" w:rsidRPr="00872B39">
              <w:rPr>
                <w:rStyle w:val="Hyperlink"/>
              </w:rPr>
              <w:t>3.</w:t>
            </w:r>
            <w:r w:rsidR="006007DF" w:rsidRPr="00872B39">
              <w:rPr>
                <w:rFonts w:eastAsiaTheme="minorEastAsia"/>
                <w:i w:val="0"/>
                <w:iCs w:val="0"/>
                <w:sz w:val="22"/>
                <w:szCs w:val="22"/>
                <w:lang w:eastAsia="de-DE"/>
              </w:rPr>
              <w:tab/>
            </w:r>
            <w:r w:rsidR="006007DF" w:rsidRPr="00872B39">
              <w:rPr>
                <w:rStyle w:val="Hyperlink"/>
              </w:rPr>
              <w:t>Energie</w:t>
            </w:r>
            <w:r w:rsidR="006007DF" w:rsidRPr="00872B39">
              <w:rPr>
                <w:webHidden/>
              </w:rPr>
              <w:tab/>
            </w:r>
            <w:r w:rsidR="006007DF" w:rsidRPr="00872B39">
              <w:rPr>
                <w:webHidden/>
              </w:rPr>
              <w:fldChar w:fldCharType="begin"/>
            </w:r>
            <w:r w:rsidR="006007DF" w:rsidRPr="00872B39">
              <w:rPr>
                <w:webHidden/>
              </w:rPr>
              <w:instrText xml:space="preserve"> PAGEREF _Toc505767159 \h </w:instrText>
            </w:r>
            <w:r w:rsidR="006007DF" w:rsidRPr="00872B39">
              <w:rPr>
                <w:webHidden/>
              </w:rPr>
            </w:r>
            <w:r w:rsidR="006007DF" w:rsidRPr="00872B39">
              <w:rPr>
                <w:webHidden/>
              </w:rPr>
              <w:fldChar w:fldCharType="separate"/>
            </w:r>
            <w:r w:rsidR="00C52EEB">
              <w:rPr>
                <w:webHidden/>
              </w:rPr>
              <w:t>71</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60" w:history="1">
            <w:r w:rsidR="006007DF" w:rsidRPr="00872B39">
              <w:rPr>
                <w:rStyle w:val="Hyperlink"/>
              </w:rPr>
              <w:t>4.</w:t>
            </w:r>
            <w:r w:rsidR="006007DF" w:rsidRPr="00872B39">
              <w:rPr>
                <w:rFonts w:eastAsiaTheme="minorEastAsia"/>
                <w:i w:val="0"/>
                <w:iCs w:val="0"/>
                <w:sz w:val="22"/>
                <w:szCs w:val="22"/>
                <w:lang w:eastAsia="de-DE"/>
              </w:rPr>
              <w:tab/>
            </w:r>
            <w:r w:rsidR="006007DF" w:rsidRPr="00872B39">
              <w:rPr>
                <w:rStyle w:val="Hyperlink"/>
              </w:rPr>
              <w:t>Verkehr</w:t>
            </w:r>
            <w:r w:rsidR="006007DF" w:rsidRPr="00872B39">
              <w:rPr>
                <w:webHidden/>
              </w:rPr>
              <w:tab/>
            </w:r>
            <w:r w:rsidR="006007DF" w:rsidRPr="00872B39">
              <w:rPr>
                <w:webHidden/>
              </w:rPr>
              <w:fldChar w:fldCharType="begin"/>
            </w:r>
            <w:r w:rsidR="006007DF" w:rsidRPr="00872B39">
              <w:rPr>
                <w:webHidden/>
              </w:rPr>
              <w:instrText xml:space="preserve"> PAGEREF _Toc505767160 \h </w:instrText>
            </w:r>
            <w:r w:rsidR="006007DF" w:rsidRPr="00872B39">
              <w:rPr>
                <w:webHidden/>
              </w:rPr>
            </w:r>
            <w:r w:rsidR="006007DF" w:rsidRPr="00872B39">
              <w:rPr>
                <w:webHidden/>
              </w:rPr>
              <w:fldChar w:fldCharType="separate"/>
            </w:r>
            <w:r w:rsidR="00C52EEB">
              <w:rPr>
                <w:webHidden/>
              </w:rPr>
              <w:t>74</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61" w:history="1">
            <w:r w:rsidR="006007DF" w:rsidRPr="00872B39">
              <w:rPr>
                <w:rStyle w:val="Hyperlink"/>
              </w:rPr>
              <w:t>5.</w:t>
            </w:r>
            <w:r w:rsidR="006007DF" w:rsidRPr="00872B39">
              <w:rPr>
                <w:rFonts w:eastAsiaTheme="minorEastAsia"/>
                <w:i w:val="0"/>
                <w:iCs w:val="0"/>
                <w:sz w:val="22"/>
                <w:szCs w:val="22"/>
                <w:lang w:eastAsia="de-DE"/>
              </w:rPr>
              <w:tab/>
            </w:r>
            <w:r w:rsidR="006007DF" w:rsidRPr="00872B39">
              <w:rPr>
                <w:rStyle w:val="Hyperlink"/>
              </w:rPr>
              <w:t>Landwirtschaft und Ernährung</w:t>
            </w:r>
            <w:r w:rsidR="006007DF" w:rsidRPr="00872B39">
              <w:rPr>
                <w:webHidden/>
              </w:rPr>
              <w:tab/>
            </w:r>
            <w:r w:rsidR="006007DF" w:rsidRPr="00872B39">
              <w:rPr>
                <w:webHidden/>
              </w:rPr>
              <w:fldChar w:fldCharType="begin"/>
            </w:r>
            <w:r w:rsidR="006007DF" w:rsidRPr="00872B39">
              <w:rPr>
                <w:webHidden/>
              </w:rPr>
              <w:instrText xml:space="preserve"> PAGEREF _Toc505767161 \h </w:instrText>
            </w:r>
            <w:r w:rsidR="006007DF" w:rsidRPr="00872B39">
              <w:rPr>
                <w:webHidden/>
              </w:rPr>
            </w:r>
            <w:r w:rsidR="006007DF" w:rsidRPr="00872B39">
              <w:rPr>
                <w:webHidden/>
              </w:rPr>
              <w:fldChar w:fldCharType="separate"/>
            </w:r>
            <w:r w:rsidR="00C52EEB">
              <w:rPr>
                <w:webHidden/>
              </w:rPr>
              <w:t>84</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62" w:history="1">
            <w:r w:rsidR="006007DF" w:rsidRPr="00872B39">
              <w:rPr>
                <w:rStyle w:val="Hyperlink"/>
                <w:rFonts w:ascii="Arial" w:hAnsi="Arial" w:cs="Arial"/>
                <w:noProof/>
              </w:rPr>
              <w:t>VII.</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Soziale Sicherheit gerecht und verlässlich gestalten</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_Toc505767162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92</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63"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Rente</w:t>
            </w:r>
            <w:r w:rsidR="006007DF" w:rsidRPr="00872B39">
              <w:rPr>
                <w:webHidden/>
              </w:rPr>
              <w:tab/>
            </w:r>
            <w:r w:rsidR="006007DF" w:rsidRPr="00872B39">
              <w:rPr>
                <w:webHidden/>
              </w:rPr>
              <w:fldChar w:fldCharType="begin"/>
            </w:r>
            <w:r w:rsidR="006007DF" w:rsidRPr="00872B39">
              <w:rPr>
                <w:webHidden/>
              </w:rPr>
              <w:instrText xml:space="preserve"> PAGEREF _Toc505767163 \h </w:instrText>
            </w:r>
            <w:r w:rsidR="006007DF" w:rsidRPr="00872B39">
              <w:rPr>
                <w:webHidden/>
              </w:rPr>
            </w:r>
            <w:r w:rsidR="006007DF" w:rsidRPr="00872B39">
              <w:rPr>
                <w:webHidden/>
              </w:rPr>
              <w:fldChar w:fldCharType="separate"/>
            </w:r>
            <w:r w:rsidR="00C52EEB">
              <w:rPr>
                <w:webHidden/>
              </w:rPr>
              <w:t>92</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64"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Teilhabe von Menschen mit Behinderungen</w:t>
            </w:r>
            <w:r w:rsidR="006007DF" w:rsidRPr="00872B39">
              <w:rPr>
                <w:webHidden/>
              </w:rPr>
              <w:tab/>
            </w:r>
            <w:r w:rsidR="006007DF" w:rsidRPr="00872B39">
              <w:rPr>
                <w:webHidden/>
              </w:rPr>
              <w:fldChar w:fldCharType="begin"/>
            </w:r>
            <w:r w:rsidR="006007DF" w:rsidRPr="00872B39">
              <w:rPr>
                <w:webHidden/>
              </w:rPr>
              <w:instrText xml:space="preserve"> PAGEREF _Toc505767164 \h </w:instrText>
            </w:r>
            <w:r w:rsidR="006007DF" w:rsidRPr="00872B39">
              <w:rPr>
                <w:webHidden/>
              </w:rPr>
            </w:r>
            <w:r w:rsidR="006007DF" w:rsidRPr="00872B39">
              <w:rPr>
                <w:webHidden/>
              </w:rPr>
              <w:fldChar w:fldCharType="separate"/>
            </w:r>
            <w:r w:rsidR="00C52EEB">
              <w:rPr>
                <w:webHidden/>
              </w:rPr>
              <w:t>94</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65" w:history="1">
            <w:r w:rsidR="006007DF" w:rsidRPr="00872B39">
              <w:rPr>
                <w:rStyle w:val="Hyperlink"/>
              </w:rPr>
              <w:t>3.</w:t>
            </w:r>
            <w:r w:rsidR="006007DF" w:rsidRPr="00872B39">
              <w:rPr>
                <w:rFonts w:eastAsiaTheme="minorEastAsia"/>
                <w:i w:val="0"/>
                <w:iCs w:val="0"/>
                <w:sz w:val="22"/>
                <w:szCs w:val="22"/>
                <w:lang w:eastAsia="de-DE"/>
              </w:rPr>
              <w:tab/>
            </w:r>
            <w:r w:rsidR="006007DF" w:rsidRPr="00872B39">
              <w:rPr>
                <w:rStyle w:val="Hyperlink"/>
              </w:rPr>
              <w:t>Reform des Sozialen Entschädigungsrechts</w:t>
            </w:r>
            <w:r w:rsidR="006007DF" w:rsidRPr="00872B39">
              <w:rPr>
                <w:webHidden/>
              </w:rPr>
              <w:tab/>
            </w:r>
            <w:r w:rsidR="006007DF" w:rsidRPr="00872B39">
              <w:rPr>
                <w:webHidden/>
              </w:rPr>
              <w:fldChar w:fldCharType="begin"/>
            </w:r>
            <w:r w:rsidR="006007DF" w:rsidRPr="00872B39">
              <w:rPr>
                <w:webHidden/>
              </w:rPr>
              <w:instrText xml:space="preserve"> PAGEREF _Toc505767165 \h </w:instrText>
            </w:r>
            <w:r w:rsidR="006007DF" w:rsidRPr="00872B39">
              <w:rPr>
                <w:webHidden/>
              </w:rPr>
            </w:r>
            <w:r w:rsidR="006007DF" w:rsidRPr="00872B39">
              <w:rPr>
                <w:webHidden/>
              </w:rPr>
              <w:fldChar w:fldCharType="separate"/>
            </w:r>
            <w:r w:rsidR="00C52EEB">
              <w:rPr>
                <w:webHidden/>
              </w:rPr>
              <w:t>95</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66" w:history="1">
            <w:r w:rsidR="006007DF" w:rsidRPr="00872B39">
              <w:rPr>
                <w:rStyle w:val="Hyperlink"/>
              </w:rPr>
              <w:t>4.</w:t>
            </w:r>
            <w:r w:rsidR="006007DF" w:rsidRPr="00872B39">
              <w:rPr>
                <w:rFonts w:eastAsiaTheme="minorEastAsia"/>
                <w:i w:val="0"/>
                <w:iCs w:val="0"/>
                <w:sz w:val="22"/>
                <w:szCs w:val="22"/>
                <w:lang w:eastAsia="de-DE"/>
              </w:rPr>
              <w:tab/>
            </w:r>
            <w:r w:rsidR="006007DF" w:rsidRPr="00872B39">
              <w:rPr>
                <w:rStyle w:val="Hyperlink"/>
              </w:rPr>
              <w:t>Gesundheit und Pflege</w:t>
            </w:r>
            <w:r w:rsidR="006007DF" w:rsidRPr="00872B39">
              <w:rPr>
                <w:webHidden/>
              </w:rPr>
              <w:tab/>
            </w:r>
            <w:r w:rsidR="006007DF" w:rsidRPr="00872B39">
              <w:rPr>
                <w:webHidden/>
              </w:rPr>
              <w:fldChar w:fldCharType="begin"/>
            </w:r>
            <w:r w:rsidR="006007DF" w:rsidRPr="00872B39">
              <w:rPr>
                <w:webHidden/>
              </w:rPr>
              <w:instrText xml:space="preserve"> PAGEREF _Toc505767166 \h </w:instrText>
            </w:r>
            <w:r w:rsidR="006007DF" w:rsidRPr="00872B39">
              <w:rPr>
                <w:webHidden/>
              </w:rPr>
            </w:r>
            <w:r w:rsidR="006007DF" w:rsidRPr="00872B39">
              <w:rPr>
                <w:webHidden/>
              </w:rPr>
              <w:fldChar w:fldCharType="separate"/>
            </w:r>
            <w:r w:rsidR="00C52EEB">
              <w:rPr>
                <w:webHidden/>
              </w:rPr>
              <w:t>95</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67" w:history="1">
            <w:r w:rsidR="006007DF" w:rsidRPr="00872B39">
              <w:rPr>
                <w:rStyle w:val="Hyperlink"/>
                <w:rFonts w:ascii="Arial" w:hAnsi="Arial" w:cs="Arial"/>
                <w:noProof/>
              </w:rPr>
              <w:t>VIII.</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Zuwanderung steuern – Integration fordern und unterstützen</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_Toc505767167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103</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68"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Flüchtlingspolitik</w:t>
            </w:r>
            <w:r w:rsidR="006007DF" w:rsidRPr="00872B39">
              <w:rPr>
                <w:webHidden/>
              </w:rPr>
              <w:tab/>
            </w:r>
            <w:r w:rsidR="006007DF" w:rsidRPr="00872B39">
              <w:rPr>
                <w:webHidden/>
              </w:rPr>
              <w:fldChar w:fldCharType="begin"/>
            </w:r>
            <w:r w:rsidR="006007DF" w:rsidRPr="00872B39">
              <w:rPr>
                <w:webHidden/>
              </w:rPr>
              <w:instrText xml:space="preserve"> PAGEREF _Toc505767168 \h </w:instrText>
            </w:r>
            <w:r w:rsidR="006007DF" w:rsidRPr="00872B39">
              <w:rPr>
                <w:webHidden/>
              </w:rPr>
            </w:r>
            <w:r w:rsidR="006007DF" w:rsidRPr="00872B39">
              <w:rPr>
                <w:webHidden/>
              </w:rPr>
              <w:fldChar w:fldCharType="separate"/>
            </w:r>
            <w:r w:rsidR="00C52EEB">
              <w:rPr>
                <w:webHidden/>
              </w:rPr>
              <w:t>103</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69"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Erwerbsmigration</w:t>
            </w:r>
            <w:r w:rsidR="006007DF" w:rsidRPr="00872B39">
              <w:rPr>
                <w:webHidden/>
              </w:rPr>
              <w:tab/>
            </w:r>
            <w:r w:rsidR="006007DF" w:rsidRPr="00872B39">
              <w:rPr>
                <w:webHidden/>
              </w:rPr>
              <w:fldChar w:fldCharType="begin"/>
            </w:r>
            <w:r w:rsidR="006007DF" w:rsidRPr="00872B39">
              <w:rPr>
                <w:webHidden/>
              </w:rPr>
              <w:instrText xml:space="preserve"> PAGEREF _Toc505767169 \h </w:instrText>
            </w:r>
            <w:r w:rsidR="006007DF" w:rsidRPr="00872B39">
              <w:rPr>
                <w:webHidden/>
              </w:rPr>
            </w:r>
            <w:r w:rsidR="006007DF" w:rsidRPr="00872B39">
              <w:rPr>
                <w:webHidden/>
              </w:rPr>
              <w:fldChar w:fldCharType="separate"/>
            </w:r>
            <w:r w:rsidR="00C52EEB">
              <w:rPr>
                <w:webHidden/>
              </w:rPr>
              <w:t>105</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70" w:history="1">
            <w:r w:rsidR="006007DF" w:rsidRPr="00872B39">
              <w:rPr>
                <w:rStyle w:val="Hyperlink"/>
              </w:rPr>
              <w:t>3.</w:t>
            </w:r>
            <w:r w:rsidR="006007DF" w:rsidRPr="00872B39">
              <w:rPr>
                <w:rFonts w:eastAsiaTheme="minorEastAsia"/>
                <w:i w:val="0"/>
                <w:iCs w:val="0"/>
                <w:sz w:val="22"/>
                <w:szCs w:val="22"/>
                <w:lang w:eastAsia="de-DE"/>
              </w:rPr>
              <w:tab/>
            </w:r>
            <w:r w:rsidR="006007DF" w:rsidRPr="00872B39">
              <w:rPr>
                <w:rStyle w:val="Hyperlink"/>
              </w:rPr>
              <w:t>Gelingende Integration</w:t>
            </w:r>
            <w:r w:rsidR="006007DF" w:rsidRPr="00872B39">
              <w:rPr>
                <w:webHidden/>
              </w:rPr>
              <w:tab/>
            </w:r>
            <w:r w:rsidR="006007DF" w:rsidRPr="00872B39">
              <w:rPr>
                <w:webHidden/>
              </w:rPr>
              <w:fldChar w:fldCharType="begin"/>
            </w:r>
            <w:r w:rsidR="006007DF" w:rsidRPr="00872B39">
              <w:rPr>
                <w:webHidden/>
              </w:rPr>
              <w:instrText xml:space="preserve"> PAGEREF _Toc505767170 \h </w:instrText>
            </w:r>
            <w:r w:rsidR="006007DF" w:rsidRPr="00872B39">
              <w:rPr>
                <w:webHidden/>
              </w:rPr>
            </w:r>
            <w:r w:rsidR="006007DF" w:rsidRPr="00872B39">
              <w:rPr>
                <w:webHidden/>
              </w:rPr>
              <w:fldChar w:fldCharType="separate"/>
            </w:r>
            <w:r w:rsidR="00C52EEB">
              <w:rPr>
                <w:webHidden/>
              </w:rPr>
              <w:t>105</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71" w:history="1">
            <w:r w:rsidR="006007DF" w:rsidRPr="00872B39">
              <w:rPr>
                <w:rStyle w:val="Hyperlink"/>
              </w:rPr>
              <w:t>4.</w:t>
            </w:r>
            <w:r w:rsidR="006007DF" w:rsidRPr="00872B39">
              <w:rPr>
                <w:rFonts w:eastAsiaTheme="minorEastAsia"/>
                <w:i w:val="0"/>
                <w:iCs w:val="0"/>
                <w:sz w:val="22"/>
                <w:szCs w:val="22"/>
                <w:lang w:eastAsia="de-DE"/>
              </w:rPr>
              <w:tab/>
            </w:r>
            <w:r w:rsidR="006007DF" w:rsidRPr="00872B39">
              <w:rPr>
                <w:rStyle w:val="Hyperlink"/>
              </w:rPr>
              <w:t>Effizientere Verfahren</w:t>
            </w:r>
            <w:r w:rsidR="006007DF" w:rsidRPr="00872B39">
              <w:rPr>
                <w:webHidden/>
              </w:rPr>
              <w:tab/>
            </w:r>
            <w:r w:rsidR="006007DF" w:rsidRPr="00872B39">
              <w:rPr>
                <w:webHidden/>
              </w:rPr>
              <w:fldChar w:fldCharType="begin"/>
            </w:r>
            <w:r w:rsidR="006007DF" w:rsidRPr="00872B39">
              <w:rPr>
                <w:webHidden/>
              </w:rPr>
              <w:instrText xml:space="preserve"> PAGEREF _Toc505767171 \h </w:instrText>
            </w:r>
            <w:r w:rsidR="006007DF" w:rsidRPr="00872B39">
              <w:rPr>
                <w:webHidden/>
              </w:rPr>
            </w:r>
            <w:r w:rsidR="006007DF" w:rsidRPr="00872B39">
              <w:rPr>
                <w:webHidden/>
              </w:rPr>
              <w:fldChar w:fldCharType="separate"/>
            </w:r>
            <w:r w:rsidR="00C52EEB">
              <w:rPr>
                <w:webHidden/>
              </w:rPr>
              <w:t>107</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72" w:history="1">
            <w:r w:rsidR="006007DF" w:rsidRPr="00872B39">
              <w:rPr>
                <w:rStyle w:val="Hyperlink"/>
                <w:rFonts w:ascii="Arial" w:hAnsi="Arial" w:cs="Arial"/>
                <w:noProof/>
              </w:rPr>
              <w:t>IX.</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Lebenswerte Städte, attraktive Regionen und bezahlbares Wohnen</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_Toc505767172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109</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73"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Wohnraumoffensive</w:t>
            </w:r>
            <w:r w:rsidR="006007DF" w:rsidRPr="00872B39">
              <w:rPr>
                <w:webHidden/>
              </w:rPr>
              <w:tab/>
            </w:r>
            <w:r w:rsidR="006007DF" w:rsidRPr="00872B39">
              <w:rPr>
                <w:webHidden/>
              </w:rPr>
              <w:fldChar w:fldCharType="begin"/>
            </w:r>
            <w:r w:rsidR="006007DF" w:rsidRPr="00872B39">
              <w:rPr>
                <w:webHidden/>
              </w:rPr>
              <w:instrText xml:space="preserve"> PAGEREF _Toc505767173 \h </w:instrText>
            </w:r>
            <w:r w:rsidR="006007DF" w:rsidRPr="00872B39">
              <w:rPr>
                <w:webHidden/>
              </w:rPr>
            </w:r>
            <w:r w:rsidR="006007DF" w:rsidRPr="00872B39">
              <w:rPr>
                <w:webHidden/>
              </w:rPr>
              <w:fldChar w:fldCharType="separate"/>
            </w:r>
            <w:r w:rsidR="00C52EEB">
              <w:rPr>
                <w:webHidden/>
              </w:rPr>
              <w:t>109</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74"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Mieten</w:t>
            </w:r>
            <w:r w:rsidR="006007DF" w:rsidRPr="00872B39">
              <w:rPr>
                <w:webHidden/>
              </w:rPr>
              <w:tab/>
            </w:r>
            <w:r w:rsidR="006007DF" w:rsidRPr="00872B39">
              <w:rPr>
                <w:webHidden/>
              </w:rPr>
              <w:fldChar w:fldCharType="begin"/>
            </w:r>
            <w:r w:rsidR="006007DF" w:rsidRPr="00872B39">
              <w:rPr>
                <w:webHidden/>
              </w:rPr>
              <w:instrText xml:space="preserve"> PAGEREF _Toc505767174 \h </w:instrText>
            </w:r>
            <w:r w:rsidR="006007DF" w:rsidRPr="00872B39">
              <w:rPr>
                <w:webHidden/>
              </w:rPr>
            </w:r>
            <w:r w:rsidR="006007DF" w:rsidRPr="00872B39">
              <w:rPr>
                <w:webHidden/>
              </w:rPr>
              <w:fldChar w:fldCharType="separate"/>
            </w:r>
            <w:r w:rsidR="00C52EEB">
              <w:rPr>
                <w:webHidden/>
              </w:rPr>
              <w:t>111</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75" w:history="1">
            <w:r w:rsidR="006007DF" w:rsidRPr="00872B39">
              <w:rPr>
                <w:rStyle w:val="Hyperlink"/>
              </w:rPr>
              <w:t>3.</w:t>
            </w:r>
            <w:r w:rsidR="006007DF" w:rsidRPr="00872B39">
              <w:rPr>
                <w:rFonts w:eastAsiaTheme="minorEastAsia"/>
                <w:i w:val="0"/>
                <w:iCs w:val="0"/>
                <w:sz w:val="22"/>
                <w:szCs w:val="22"/>
                <w:lang w:eastAsia="de-DE"/>
              </w:rPr>
              <w:tab/>
            </w:r>
            <w:r w:rsidR="006007DF" w:rsidRPr="00872B39">
              <w:rPr>
                <w:rStyle w:val="Hyperlink"/>
              </w:rPr>
              <w:t>Stadtentwicklung und Baukultur</w:t>
            </w:r>
            <w:r w:rsidR="006007DF" w:rsidRPr="00872B39">
              <w:rPr>
                <w:webHidden/>
              </w:rPr>
              <w:tab/>
            </w:r>
            <w:r w:rsidR="006007DF" w:rsidRPr="00872B39">
              <w:rPr>
                <w:webHidden/>
              </w:rPr>
              <w:fldChar w:fldCharType="begin"/>
            </w:r>
            <w:r w:rsidR="006007DF" w:rsidRPr="00872B39">
              <w:rPr>
                <w:webHidden/>
              </w:rPr>
              <w:instrText xml:space="preserve"> PAGEREF _Toc505767175 \h </w:instrText>
            </w:r>
            <w:r w:rsidR="006007DF" w:rsidRPr="00872B39">
              <w:rPr>
                <w:webHidden/>
              </w:rPr>
            </w:r>
            <w:r w:rsidR="006007DF" w:rsidRPr="00872B39">
              <w:rPr>
                <w:webHidden/>
              </w:rPr>
              <w:fldChar w:fldCharType="separate"/>
            </w:r>
            <w:r w:rsidR="00C52EEB">
              <w:rPr>
                <w:webHidden/>
              </w:rPr>
              <w:t>112</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76" w:history="1">
            <w:r w:rsidR="006007DF" w:rsidRPr="00872B39">
              <w:rPr>
                <w:rStyle w:val="Hyperlink"/>
              </w:rPr>
              <w:t>4.</w:t>
            </w:r>
            <w:r w:rsidR="006007DF" w:rsidRPr="00872B39">
              <w:rPr>
                <w:rFonts w:eastAsiaTheme="minorEastAsia"/>
                <w:i w:val="0"/>
                <w:iCs w:val="0"/>
                <w:sz w:val="22"/>
                <w:szCs w:val="22"/>
                <w:lang w:eastAsia="de-DE"/>
              </w:rPr>
              <w:tab/>
            </w:r>
            <w:r w:rsidR="006007DF" w:rsidRPr="00872B39">
              <w:rPr>
                <w:rStyle w:val="Hyperlink"/>
              </w:rPr>
              <w:t>Innovation und Wirtschaftlichkeit beim Bauen</w:t>
            </w:r>
            <w:r w:rsidR="006007DF" w:rsidRPr="00872B39">
              <w:rPr>
                <w:webHidden/>
              </w:rPr>
              <w:tab/>
            </w:r>
            <w:r w:rsidR="006007DF" w:rsidRPr="00872B39">
              <w:rPr>
                <w:webHidden/>
              </w:rPr>
              <w:fldChar w:fldCharType="begin"/>
            </w:r>
            <w:r w:rsidR="006007DF" w:rsidRPr="00872B39">
              <w:rPr>
                <w:webHidden/>
              </w:rPr>
              <w:instrText xml:space="preserve"> PAGEREF _Toc505767176 \h </w:instrText>
            </w:r>
            <w:r w:rsidR="006007DF" w:rsidRPr="00872B39">
              <w:rPr>
                <w:webHidden/>
              </w:rPr>
            </w:r>
            <w:r w:rsidR="006007DF" w:rsidRPr="00872B39">
              <w:rPr>
                <w:webHidden/>
              </w:rPr>
              <w:fldChar w:fldCharType="separate"/>
            </w:r>
            <w:r w:rsidR="00C52EEB">
              <w:rPr>
                <w:webHidden/>
              </w:rPr>
              <w:t>114</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77" w:history="1">
            <w:r w:rsidR="006007DF" w:rsidRPr="00872B39">
              <w:rPr>
                <w:rStyle w:val="Hyperlink"/>
              </w:rPr>
              <w:t>5.</w:t>
            </w:r>
            <w:r w:rsidR="006007DF" w:rsidRPr="00872B39">
              <w:rPr>
                <w:rFonts w:eastAsiaTheme="minorEastAsia"/>
                <w:i w:val="0"/>
                <w:iCs w:val="0"/>
                <w:sz w:val="22"/>
                <w:szCs w:val="22"/>
                <w:lang w:eastAsia="de-DE"/>
              </w:rPr>
              <w:tab/>
            </w:r>
            <w:r w:rsidR="006007DF" w:rsidRPr="00872B39">
              <w:rPr>
                <w:rStyle w:val="Hyperlink"/>
              </w:rPr>
              <w:t>Heimat mit Zukunft</w:t>
            </w:r>
            <w:r w:rsidR="006007DF" w:rsidRPr="00872B39">
              <w:rPr>
                <w:webHidden/>
              </w:rPr>
              <w:tab/>
            </w:r>
            <w:r w:rsidR="006007DF" w:rsidRPr="00872B39">
              <w:rPr>
                <w:webHidden/>
              </w:rPr>
              <w:fldChar w:fldCharType="begin"/>
            </w:r>
            <w:r w:rsidR="006007DF" w:rsidRPr="00872B39">
              <w:rPr>
                <w:webHidden/>
              </w:rPr>
              <w:instrText xml:space="preserve"> PAGEREF _Toc505767177 \h </w:instrText>
            </w:r>
            <w:r w:rsidR="006007DF" w:rsidRPr="00872B39">
              <w:rPr>
                <w:webHidden/>
              </w:rPr>
            </w:r>
            <w:r w:rsidR="006007DF" w:rsidRPr="00872B39">
              <w:rPr>
                <w:webHidden/>
              </w:rPr>
              <w:fldChar w:fldCharType="separate"/>
            </w:r>
            <w:r w:rsidR="00C52EEB">
              <w:rPr>
                <w:webHidden/>
              </w:rPr>
              <w:t>116</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78" w:history="1">
            <w:r w:rsidR="006007DF" w:rsidRPr="00872B39">
              <w:rPr>
                <w:rStyle w:val="Hyperlink"/>
              </w:rPr>
              <w:t>6.</w:t>
            </w:r>
            <w:r w:rsidR="006007DF" w:rsidRPr="00872B39">
              <w:rPr>
                <w:rFonts w:eastAsiaTheme="minorEastAsia"/>
                <w:i w:val="0"/>
                <w:iCs w:val="0"/>
                <w:sz w:val="22"/>
                <w:szCs w:val="22"/>
                <w:lang w:eastAsia="de-DE"/>
              </w:rPr>
              <w:tab/>
            </w:r>
            <w:r w:rsidR="006007DF" w:rsidRPr="00872B39">
              <w:rPr>
                <w:rStyle w:val="Hyperlink"/>
              </w:rPr>
              <w:t>Lärmschutz und Bürgerbeteiligung</w:t>
            </w:r>
            <w:r w:rsidR="006007DF" w:rsidRPr="00872B39">
              <w:rPr>
                <w:webHidden/>
              </w:rPr>
              <w:tab/>
            </w:r>
            <w:r w:rsidR="006007DF" w:rsidRPr="00872B39">
              <w:rPr>
                <w:webHidden/>
              </w:rPr>
              <w:fldChar w:fldCharType="begin"/>
            </w:r>
            <w:r w:rsidR="006007DF" w:rsidRPr="00872B39">
              <w:rPr>
                <w:webHidden/>
              </w:rPr>
              <w:instrText xml:space="preserve"> PAGEREF _Toc505767178 \h </w:instrText>
            </w:r>
            <w:r w:rsidR="006007DF" w:rsidRPr="00872B39">
              <w:rPr>
                <w:webHidden/>
              </w:rPr>
            </w:r>
            <w:r w:rsidR="006007DF" w:rsidRPr="00872B39">
              <w:rPr>
                <w:webHidden/>
              </w:rPr>
              <w:fldChar w:fldCharType="separate"/>
            </w:r>
            <w:r w:rsidR="00C52EEB">
              <w:rPr>
                <w:webHidden/>
              </w:rPr>
              <w:t>120</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79" w:history="1">
            <w:r w:rsidR="006007DF" w:rsidRPr="00872B39">
              <w:rPr>
                <w:rStyle w:val="Hyperlink"/>
              </w:rPr>
              <w:t>7.</w:t>
            </w:r>
            <w:r w:rsidR="006007DF" w:rsidRPr="00872B39">
              <w:rPr>
                <w:rFonts w:eastAsiaTheme="minorEastAsia"/>
                <w:i w:val="0"/>
                <w:iCs w:val="0"/>
                <w:sz w:val="22"/>
                <w:szCs w:val="22"/>
                <w:lang w:eastAsia="de-DE"/>
              </w:rPr>
              <w:tab/>
            </w:r>
            <w:r w:rsidR="006007DF" w:rsidRPr="00872B39">
              <w:rPr>
                <w:rStyle w:val="Hyperlink"/>
              </w:rPr>
              <w:t>Personenbeförderungsrecht, ÖPNV und Mobilität im ländlichen Raum</w:t>
            </w:r>
            <w:r w:rsidR="006007DF" w:rsidRPr="00872B39">
              <w:rPr>
                <w:webHidden/>
              </w:rPr>
              <w:tab/>
            </w:r>
            <w:r w:rsidR="006007DF" w:rsidRPr="00872B39">
              <w:rPr>
                <w:webHidden/>
              </w:rPr>
              <w:fldChar w:fldCharType="begin"/>
            </w:r>
            <w:r w:rsidR="006007DF" w:rsidRPr="00872B39">
              <w:rPr>
                <w:webHidden/>
              </w:rPr>
              <w:instrText xml:space="preserve"> PAGEREF _Toc505767179 \h </w:instrText>
            </w:r>
            <w:r w:rsidR="006007DF" w:rsidRPr="00872B39">
              <w:rPr>
                <w:webHidden/>
              </w:rPr>
            </w:r>
            <w:r w:rsidR="006007DF" w:rsidRPr="00872B39">
              <w:rPr>
                <w:webHidden/>
              </w:rPr>
              <w:fldChar w:fldCharType="separate"/>
            </w:r>
            <w:r w:rsidR="00C52EEB">
              <w:rPr>
                <w:webHidden/>
              </w:rPr>
              <w:t>121</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80" w:history="1">
            <w:r w:rsidR="006007DF" w:rsidRPr="00872B39">
              <w:rPr>
                <w:rStyle w:val="Hyperlink"/>
                <w:rFonts w:ascii="Arial" w:hAnsi="Arial" w:cs="Arial"/>
                <w:noProof/>
              </w:rPr>
              <w:t>X.</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Ein handlungsfähiger und starker Staat für eine freie Gesellschaft</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_Toc505767180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123</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81"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Pakt für den Rechtsstaat</w:t>
            </w:r>
            <w:r w:rsidR="006007DF" w:rsidRPr="00872B39">
              <w:rPr>
                <w:webHidden/>
              </w:rPr>
              <w:tab/>
            </w:r>
            <w:r w:rsidR="006007DF" w:rsidRPr="00872B39">
              <w:rPr>
                <w:webHidden/>
              </w:rPr>
              <w:fldChar w:fldCharType="begin"/>
            </w:r>
            <w:r w:rsidR="006007DF" w:rsidRPr="00872B39">
              <w:rPr>
                <w:webHidden/>
              </w:rPr>
              <w:instrText xml:space="preserve"> PAGEREF _Toc505767181 \h </w:instrText>
            </w:r>
            <w:r w:rsidR="006007DF" w:rsidRPr="00872B39">
              <w:rPr>
                <w:webHidden/>
              </w:rPr>
            </w:r>
            <w:r w:rsidR="006007DF" w:rsidRPr="00872B39">
              <w:rPr>
                <w:webHidden/>
              </w:rPr>
              <w:fldChar w:fldCharType="separate"/>
            </w:r>
            <w:r w:rsidR="00C52EEB">
              <w:rPr>
                <w:webHidden/>
              </w:rPr>
              <w:t>123</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82"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Moderner Staat</w:t>
            </w:r>
            <w:r w:rsidR="006007DF" w:rsidRPr="00872B39">
              <w:rPr>
                <w:webHidden/>
              </w:rPr>
              <w:tab/>
            </w:r>
            <w:r w:rsidR="006007DF" w:rsidRPr="00872B39">
              <w:rPr>
                <w:webHidden/>
              </w:rPr>
              <w:fldChar w:fldCharType="begin"/>
            </w:r>
            <w:r w:rsidR="006007DF" w:rsidRPr="00872B39">
              <w:rPr>
                <w:webHidden/>
              </w:rPr>
              <w:instrText xml:space="preserve"> PAGEREF _Toc505767182 \h </w:instrText>
            </w:r>
            <w:r w:rsidR="006007DF" w:rsidRPr="00872B39">
              <w:rPr>
                <w:webHidden/>
              </w:rPr>
            </w:r>
            <w:r w:rsidR="006007DF" w:rsidRPr="00872B39">
              <w:rPr>
                <w:webHidden/>
              </w:rPr>
              <w:fldChar w:fldCharType="separate"/>
            </w:r>
            <w:r w:rsidR="00C52EEB">
              <w:rPr>
                <w:webHidden/>
              </w:rPr>
              <w:t>128</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83" w:history="1">
            <w:r w:rsidR="006007DF" w:rsidRPr="00872B39">
              <w:rPr>
                <w:rStyle w:val="Hyperlink"/>
              </w:rPr>
              <w:t>3.</w:t>
            </w:r>
            <w:r w:rsidR="006007DF" w:rsidRPr="00872B39">
              <w:rPr>
                <w:rFonts w:eastAsiaTheme="minorEastAsia"/>
                <w:i w:val="0"/>
                <w:iCs w:val="0"/>
                <w:sz w:val="22"/>
                <w:szCs w:val="22"/>
                <w:lang w:eastAsia="de-DE"/>
              </w:rPr>
              <w:tab/>
            </w:r>
            <w:r w:rsidR="006007DF" w:rsidRPr="00872B39">
              <w:rPr>
                <w:rStyle w:val="Hyperlink"/>
              </w:rPr>
              <w:t>Modernes Recht für eine moderne Gesellschaft</w:t>
            </w:r>
            <w:r w:rsidR="006007DF" w:rsidRPr="00872B39">
              <w:rPr>
                <w:webHidden/>
              </w:rPr>
              <w:tab/>
            </w:r>
            <w:r w:rsidR="006007DF" w:rsidRPr="00872B39">
              <w:rPr>
                <w:webHidden/>
              </w:rPr>
              <w:fldChar w:fldCharType="begin"/>
            </w:r>
            <w:r w:rsidR="006007DF" w:rsidRPr="00872B39">
              <w:rPr>
                <w:webHidden/>
              </w:rPr>
              <w:instrText xml:space="preserve"> PAGEREF _Toc505767183 \h </w:instrText>
            </w:r>
            <w:r w:rsidR="006007DF" w:rsidRPr="00872B39">
              <w:rPr>
                <w:webHidden/>
              </w:rPr>
            </w:r>
            <w:r w:rsidR="006007DF" w:rsidRPr="00872B39">
              <w:rPr>
                <w:webHidden/>
              </w:rPr>
              <w:fldChar w:fldCharType="separate"/>
            </w:r>
            <w:r w:rsidR="00C52EEB">
              <w:rPr>
                <w:webHidden/>
              </w:rPr>
              <w:t>130</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84" w:history="1">
            <w:r w:rsidR="006007DF" w:rsidRPr="00872B39">
              <w:rPr>
                <w:rStyle w:val="Hyperlink"/>
              </w:rPr>
              <w:t>4.</w:t>
            </w:r>
            <w:r w:rsidR="006007DF" w:rsidRPr="00872B39">
              <w:rPr>
                <w:rFonts w:eastAsiaTheme="minorEastAsia"/>
                <w:i w:val="0"/>
                <w:iCs w:val="0"/>
                <w:sz w:val="22"/>
                <w:szCs w:val="22"/>
                <w:lang w:eastAsia="de-DE"/>
              </w:rPr>
              <w:tab/>
            </w:r>
            <w:r w:rsidR="006007DF" w:rsidRPr="00872B39">
              <w:rPr>
                <w:rStyle w:val="Hyperlink"/>
              </w:rPr>
              <w:t>Prävention</w:t>
            </w:r>
            <w:r w:rsidR="006007DF" w:rsidRPr="00872B39">
              <w:rPr>
                <w:webHidden/>
              </w:rPr>
              <w:tab/>
            </w:r>
            <w:r w:rsidR="006007DF" w:rsidRPr="00872B39">
              <w:rPr>
                <w:webHidden/>
              </w:rPr>
              <w:fldChar w:fldCharType="begin"/>
            </w:r>
            <w:r w:rsidR="006007DF" w:rsidRPr="00872B39">
              <w:rPr>
                <w:webHidden/>
              </w:rPr>
              <w:instrText xml:space="preserve"> PAGEREF _Toc505767184 \h </w:instrText>
            </w:r>
            <w:r w:rsidR="006007DF" w:rsidRPr="00872B39">
              <w:rPr>
                <w:webHidden/>
              </w:rPr>
            </w:r>
            <w:r w:rsidR="006007DF" w:rsidRPr="00872B39">
              <w:rPr>
                <w:webHidden/>
              </w:rPr>
              <w:fldChar w:fldCharType="separate"/>
            </w:r>
            <w:r w:rsidR="00C52EEB">
              <w:rPr>
                <w:webHidden/>
              </w:rPr>
              <w:t>133</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85" w:history="1">
            <w:r w:rsidR="006007DF" w:rsidRPr="00872B39">
              <w:rPr>
                <w:rStyle w:val="Hyperlink"/>
              </w:rPr>
              <w:t>5.</w:t>
            </w:r>
            <w:r w:rsidR="006007DF" w:rsidRPr="00872B39">
              <w:rPr>
                <w:rFonts w:eastAsiaTheme="minorEastAsia"/>
                <w:i w:val="0"/>
                <w:iCs w:val="0"/>
                <w:sz w:val="22"/>
                <w:szCs w:val="22"/>
                <w:lang w:eastAsia="de-DE"/>
              </w:rPr>
              <w:tab/>
            </w:r>
            <w:r w:rsidR="006007DF" w:rsidRPr="00872B39">
              <w:rPr>
                <w:rStyle w:val="Hyperlink"/>
              </w:rPr>
              <w:t>Verbraucherschutz</w:t>
            </w:r>
            <w:r w:rsidR="006007DF" w:rsidRPr="00872B39">
              <w:rPr>
                <w:webHidden/>
              </w:rPr>
              <w:tab/>
            </w:r>
            <w:r w:rsidR="006007DF" w:rsidRPr="00872B39">
              <w:rPr>
                <w:webHidden/>
              </w:rPr>
              <w:fldChar w:fldCharType="begin"/>
            </w:r>
            <w:r w:rsidR="006007DF" w:rsidRPr="00872B39">
              <w:rPr>
                <w:webHidden/>
              </w:rPr>
              <w:instrText xml:space="preserve"> PAGEREF _Toc505767185 \h </w:instrText>
            </w:r>
            <w:r w:rsidR="006007DF" w:rsidRPr="00872B39">
              <w:rPr>
                <w:webHidden/>
              </w:rPr>
            </w:r>
            <w:r w:rsidR="006007DF" w:rsidRPr="00872B39">
              <w:rPr>
                <w:webHidden/>
              </w:rPr>
              <w:fldChar w:fldCharType="separate"/>
            </w:r>
            <w:r w:rsidR="00C52EEB">
              <w:rPr>
                <w:webHidden/>
              </w:rPr>
              <w:t>134</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86" w:history="1">
            <w:r w:rsidR="006007DF" w:rsidRPr="00872B39">
              <w:rPr>
                <w:rStyle w:val="Hyperlink"/>
              </w:rPr>
              <w:t>6.</w:t>
            </w:r>
            <w:r w:rsidR="006007DF" w:rsidRPr="00872B39">
              <w:rPr>
                <w:rFonts w:eastAsiaTheme="minorEastAsia"/>
                <w:i w:val="0"/>
                <w:iCs w:val="0"/>
                <w:sz w:val="22"/>
                <w:szCs w:val="22"/>
                <w:lang w:eastAsia="de-DE"/>
              </w:rPr>
              <w:tab/>
            </w:r>
            <w:r w:rsidR="006007DF" w:rsidRPr="00872B39">
              <w:rPr>
                <w:rStyle w:val="Hyperlink"/>
              </w:rPr>
              <w:t>Sport</w:t>
            </w:r>
            <w:r w:rsidR="006007DF" w:rsidRPr="00872B39">
              <w:rPr>
                <w:webHidden/>
              </w:rPr>
              <w:tab/>
            </w:r>
            <w:r w:rsidR="006007DF" w:rsidRPr="00872B39">
              <w:rPr>
                <w:webHidden/>
              </w:rPr>
              <w:fldChar w:fldCharType="begin"/>
            </w:r>
            <w:r w:rsidR="006007DF" w:rsidRPr="00872B39">
              <w:rPr>
                <w:webHidden/>
              </w:rPr>
              <w:instrText xml:space="preserve"> PAGEREF _Toc505767186 \h </w:instrText>
            </w:r>
            <w:r w:rsidR="006007DF" w:rsidRPr="00872B39">
              <w:rPr>
                <w:webHidden/>
              </w:rPr>
            </w:r>
            <w:r w:rsidR="006007DF" w:rsidRPr="00872B39">
              <w:rPr>
                <w:webHidden/>
              </w:rPr>
              <w:fldChar w:fldCharType="separate"/>
            </w:r>
            <w:r w:rsidR="00C52EEB">
              <w:rPr>
                <w:webHidden/>
              </w:rPr>
              <w:t>136</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87" w:history="1">
            <w:r w:rsidR="006007DF" w:rsidRPr="00872B39">
              <w:rPr>
                <w:rStyle w:val="Hyperlink"/>
                <w:rFonts w:ascii="Arial" w:hAnsi="Arial" w:cs="Arial"/>
                <w:noProof/>
              </w:rPr>
              <w:t>XI.</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Verantwortungsvoller Umgang mit unseren Ressourcen</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_Toc505767187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137</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88"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Umwelt und Klima</w:t>
            </w:r>
            <w:r w:rsidR="006007DF" w:rsidRPr="00872B39">
              <w:rPr>
                <w:webHidden/>
              </w:rPr>
              <w:tab/>
            </w:r>
            <w:r w:rsidR="006007DF" w:rsidRPr="00872B39">
              <w:rPr>
                <w:webHidden/>
              </w:rPr>
              <w:fldChar w:fldCharType="begin"/>
            </w:r>
            <w:r w:rsidR="006007DF" w:rsidRPr="00872B39">
              <w:rPr>
                <w:webHidden/>
              </w:rPr>
              <w:instrText xml:space="preserve"> PAGEREF _Toc505767188 \h </w:instrText>
            </w:r>
            <w:r w:rsidR="006007DF" w:rsidRPr="00872B39">
              <w:rPr>
                <w:webHidden/>
              </w:rPr>
            </w:r>
            <w:r w:rsidR="006007DF" w:rsidRPr="00872B39">
              <w:rPr>
                <w:webHidden/>
              </w:rPr>
              <w:fldChar w:fldCharType="separate"/>
            </w:r>
            <w:r w:rsidR="00C52EEB">
              <w:rPr>
                <w:webHidden/>
              </w:rPr>
              <w:t>137</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89"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Raumordnung</w:t>
            </w:r>
            <w:r w:rsidR="006007DF" w:rsidRPr="00872B39">
              <w:rPr>
                <w:webHidden/>
              </w:rPr>
              <w:tab/>
            </w:r>
            <w:r w:rsidR="006007DF" w:rsidRPr="00872B39">
              <w:rPr>
                <w:webHidden/>
              </w:rPr>
              <w:fldChar w:fldCharType="begin"/>
            </w:r>
            <w:r w:rsidR="006007DF" w:rsidRPr="00872B39">
              <w:rPr>
                <w:webHidden/>
              </w:rPr>
              <w:instrText xml:space="preserve"> PAGEREF _Toc505767189 \h </w:instrText>
            </w:r>
            <w:r w:rsidR="006007DF" w:rsidRPr="00872B39">
              <w:rPr>
                <w:webHidden/>
              </w:rPr>
            </w:r>
            <w:r w:rsidR="006007DF" w:rsidRPr="00872B39">
              <w:rPr>
                <w:webHidden/>
              </w:rPr>
              <w:fldChar w:fldCharType="separate"/>
            </w:r>
            <w:r w:rsidR="00C52EEB">
              <w:rPr>
                <w:webHidden/>
              </w:rPr>
              <w:t>143</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90" w:history="1">
            <w:r w:rsidR="006007DF" w:rsidRPr="00872B39">
              <w:rPr>
                <w:rStyle w:val="Hyperlink"/>
                <w:rFonts w:ascii="Arial" w:hAnsi="Arial" w:cs="Arial"/>
                <w:noProof/>
              </w:rPr>
              <w:t>XII.</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Deutschlands Verantwortung für Frieden, Freiheit und Sicherheit in der Welt</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_Toc505767190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144</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91"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Europäische Außen- und Sicherheitspolitik</w:t>
            </w:r>
            <w:r w:rsidR="006007DF" w:rsidRPr="00872B39">
              <w:rPr>
                <w:webHidden/>
              </w:rPr>
              <w:tab/>
            </w:r>
            <w:r w:rsidR="006007DF" w:rsidRPr="00872B39">
              <w:rPr>
                <w:webHidden/>
              </w:rPr>
              <w:fldChar w:fldCharType="begin"/>
            </w:r>
            <w:r w:rsidR="006007DF" w:rsidRPr="00872B39">
              <w:rPr>
                <w:webHidden/>
              </w:rPr>
              <w:instrText xml:space="preserve"> PAGEREF _Toc505767191 \h </w:instrText>
            </w:r>
            <w:r w:rsidR="006007DF" w:rsidRPr="00872B39">
              <w:rPr>
                <w:webHidden/>
              </w:rPr>
            </w:r>
            <w:r w:rsidR="006007DF" w:rsidRPr="00872B39">
              <w:rPr>
                <w:webHidden/>
              </w:rPr>
              <w:fldChar w:fldCharType="separate"/>
            </w:r>
            <w:r w:rsidR="00C52EEB">
              <w:rPr>
                <w:webHidden/>
              </w:rPr>
              <w:t>145</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92"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Internationale und europäische Bündnisse und Partnerschaften</w:t>
            </w:r>
            <w:r w:rsidR="006007DF" w:rsidRPr="00872B39">
              <w:rPr>
                <w:webHidden/>
              </w:rPr>
              <w:tab/>
            </w:r>
            <w:r w:rsidR="006007DF" w:rsidRPr="00872B39">
              <w:rPr>
                <w:webHidden/>
              </w:rPr>
              <w:fldChar w:fldCharType="begin"/>
            </w:r>
            <w:r w:rsidR="006007DF" w:rsidRPr="00872B39">
              <w:rPr>
                <w:webHidden/>
              </w:rPr>
              <w:instrText xml:space="preserve"> PAGEREF _Toc505767192 \h </w:instrText>
            </w:r>
            <w:r w:rsidR="006007DF" w:rsidRPr="00872B39">
              <w:rPr>
                <w:webHidden/>
              </w:rPr>
            </w:r>
            <w:r w:rsidR="006007DF" w:rsidRPr="00872B39">
              <w:rPr>
                <w:webHidden/>
              </w:rPr>
              <w:fldChar w:fldCharType="separate"/>
            </w:r>
            <w:r w:rsidR="00C52EEB">
              <w:rPr>
                <w:webHidden/>
              </w:rPr>
              <w:t>147</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93" w:history="1">
            <w:r w:rsidR="006007DF" w:rsidRPr="00872B39">
              <w:rPr>
                <w:rStyle w:val="Hyperlink"/>
              </w:rPr>
              <w:t>3.</w:t>
            </w:r>
            <w:r w:rsidR="006007DF" w:rsidRPr="00872B39">
              <w:rPr>
                <w:rFonts w:eastAsiaTheme="minorEastAsia"/>
                <w:i w:val="0"/>
                <w:iCs w:val="0"/>
                <w:sz w:val="22"/>
                <w:szCs w:val="22"/>
                <w:lang w:eastAsia="de-DE"/>
              </w:rPr>
              <w:tab/>
            </w:r>
            <w:r w:rsidR="006007DF" w:rsidRPr="00872B39">
              <w:rPr>
                <w:rStyle w:val="Hyperlink"/>
              </w:rPr>
              <w:t>Abrüstung und restriktive Rüstungsexportpolitik</w:t>
            </w:r>
            <w:r w:rsidR="006007DF" w:rsidRPr="00872B39">
              <w:rPr>
                <w:webHidden/>
              </w:rPr>
              <w:tab/>
            </w:r>
            <w:r w:rsidR="006007DF" w:rsidRPr="00872B39">
              <w:rPr>
                <w:webHidden/>
              </w:rPr>
              <w:fldChar w:fldCharType="begin"/>
            </w:r>
            <w:r w:rsidR="006007DF" w:rsidRPr="00872B39">
              <w:rPr>
                <w:webHidden/>
              </w:rPr>
              <w:instrText xml:space="preserve"> PAGEREF _Toc505767193 \h </w:instrText>
            </w:r>
            <w:r w:rsidR="006007DF" w:rsidRPr="00872B39">
              <w:rPr>
                <w:webHidden/>
              </w:rPr>
            </w:r>
            <w:r w:rsidR="006007DF" w:rsidRPr="00872B39">
              <w:rPr>
                <w:webHidden/>
              </w:rPr>
              <w:fldChar w:fldCharType="separate"/>
            </w:r>
            <w:r w:rsidR="00C52EEB">
              <w:rPr>
                <w:webHidden/>
              </w:rPr>
              <w:t>148</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94" w:history="1">
            <w:r w:rsidR="006007DF" w:rsidRPr="00872B39">
              <w:rPr>
                <w:rStyle w:val="Hyperlink"/>
              </w:rPr>
              <w:t>4.</w:t>
            </w:r>
            <w:r w:rsidR="006007DF" w:rsidRPr="00872B39">
              <w:rPr>
                <w:rFonts w:eastAsiaTheme="minorEastAsia"/>
                <w:i w:val="0"/>
                <w:iCs w:val="0"/>
                <w:sz w:val="22"/>
                <w:szCs w:val="22"/>
                <w:lang w:eastAsia="de-DE"/>
              </w:rPr>
              <w:tab/>
            </w:r>
            <w:r w:rsidR="006007DF" w:rsidRPr="00872B39">
              <w:rPr>
                <w:rStyle w:val="Hyperlink"/>
              </w:rPr>
              <w:t>Bilaterale und regionale Zusammenarbeit in Europa und der Welt</w:t>
            </w:r>
            <w:r w:rsidR="006007DF" w:rsidRPr="00872B39">
              <w:rPr>
                <w:webHidden/>
              </w:rPr>
              <w:tab/>
            </w:r>
            <w:r w:rsidR="006007DF" w:rsidRPr="00872B39">
              <w:rPr>
                <w:webHidden/>
              </w:rPr>
              <w:fldChar w:fldCharType="begin"/>
            </w:r>
            <w:r w:rsidR="006007DF" w:rsidRPr="00872B39">
              <w:rPr>
                <w:webHidden/>
              </w:rPr>
              <w:instrText xml:space="preserve"> PAGEREF _Toc505767194 \h </w:instrText>
            </w:r>
            <w:r w:rsidR="006007DF" w:rsidRPr="00872B39">
              <w:rPr>
                <w:webHidden/>
              </w:rPr>
            </w:r>
            <w:r w:rsidR="006007DF" w:rsidRPr="00872B39">
              <w:rPr>
                <w:webHidden/>
              </w:rPr>
              <w:fldChar w:fldCharType="separate"/>
            </w:r>
            <w:r w:rsidR="00C52EEB">
              <w:rPr>
                <w:webHidden/>
              </w:rPr>
              <w:t>149</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95" w:history="1">
            <w:r w:rsidR="006007DF" w:rsidRPr="00872B39">
              <w:rPr>
                <w:rStyle w:val="Hyperlink"/>
              </w:rPr>
              <w:t>5.</w:t>
            </w:r>
            <w:r w:rsidR="006007DF" w:rsidRPr="00872B39">
              <w:rPr>
                <w:rFonts w:eastAsiaTheme="minorEastAsia"/>
                <w:i w:val="0"/>
                <w:iCs w:val="0"/>
                <w:sz w:val="22"/>
                <w:szCs w:val="22"/>
                <w:lang w:eastAsia="de-DE"/>
              </w:rPr>
              <w:tab/>
            </w:r>
            <w:r w:rsidR="006007DF" w:rsidRPr="00872B39">
              <w:rPr>
                <w:rStyle w:val="Hyperlink"/>
              </w:rPr>
              <w:t>Außenwirtschaftspolitik sowie Auswärtige Kultur- und Bildungspolitik</w:t>
            </w:r>
            <w:r w:rsidR="006007DF" w:rsidRPr="00872B39">
              <w:rPr>
                <w:webHidden/>
              </w:rPr>
              <w:tab/>
            </w:r>
            <w:r w:rsidR="006007DF" w:rsidRPr="00872B39">
              <w:rPr>
                <w:webHidden/>
              </w:rPr>
              <w:fldChar w:fldCharType="begin"/>
            </w:r>
            <w:r w:rsidR="006007DF" w:rsidRPr="00872B39">
              <w:rPr>
                <w:webHidden/>
              </w:rPr>
              <w:instrText xml:space="preserve"> PAGEREF _Toc505767195 \h </w:instrText>
            </w:r>
            <w:r w:rsidR="006007DF" w:rsidRPr="00872B39">
              <w:rPr>
                <w:webHidden/>
              </w:rPr>
            </w:r>
            <w:r w:rsidR="006007DF" w:rsidRPr="00872B39">
              <w:rPr>
                <w:webHidden/>
              </w:rPr>
              <w:fldChar w:fldCharType="separate"/>
            </w:r>
            <w:r w:rsidR="00C52EEB">
              <w:rPr>
                <w:webHidden/>
              </w:rPr>
              <w:t>153</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96" w:history="1">
            <w:r w:rsidR="006007DF" w:rsidRPr="00872B39">
              <w:rPr>
                <w:rStyle w:val="Hyperlink"/>
              </w:rPr>
              <w:t>6.</w:t>
            </w:r>
            <w:r w:rsidR="006007DF" w:rsidRPr="00872B39">
              <w:rPr>
                <w:rFonts w:eastAsiaTheme="minorEastAsia"/>
                <w:i w:val="0"/>
                <w:iCs w:val="0"/>
                <w:sz w:val="22"/>
                <w:szCs w:val="22"/>
                <w:lang w:eastAsia="de-DE"/>
              </w:rPr>
              <w:tab/>
            </w:r>
            <w:r w:rsidR="006007DF" w:rsidRPr="00872B39">
              <w:rPr>
                <w:rStyle w:val="Hyperlink"/>
              </w:rPr>
              <w:t>Menschenrechte, Krisenprävention und humanitäre Hilfe</w:t>
            </w:r>
            <w:r w:rsidR="006007DF" w:rsidRPr="00872B39">
              <w:rPr>
                <w:webHidden/>
              </w:rPr>
              <w:tab/>
            </w:r>
            <w:r w:rsidR="006007DF" w:rsidRPr="00872B39">
              <w:rPr>
                <w:webHidden/>
              </w:rPr>
              <w:fldChar w:fldCharType="begin"/>
            </w:r>
            <w:r w:rsidR="006007DF" w:rsidRPr="00872B39">
              <w:rPr>
                <w:webHidden/>
              </w:rPr>
              <w:instrText xml:space="preserve"> PAGEREF _Toc505767196 \h </w:instrText>
            </w:r>
            <w:r w:rsidR="006007DF" w:rsidRPr="00872B39">
              <w:rPr>
                <w:webHidden/>
              </w:rPr>
            </w:r>
            <w:r w:rsidR="006007DF" w:rsidRPr="00872B39">
              <w:rPr>
                <w:webHidden/>
              </w:rPr>
              <w:fldChar w:fldCharType="separate"/>
            </w:r>
            <w:r w:rsidR="00C52EEB">
              <w:rPr>
                <w:webHidden/>
              </w:rPr>
              <w:t>155</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97" w:history="1">
            <w:r w:rsidR="006007DF" w:rsidRPr="00872B39">
              <w:rPr>
                <w:rStyle w:val="Hyperlink"/>
              </w:rPr>
              <w:t>7.</w:t>
            </w:r>
            <w:r w:rsidR="006007DF" w:rsidRPr="00872B39">
              <w:rPr>
                <w:rFonts w:eastAsiaTheme="minorEastAsia"/>
                <w:i w:val="0"/>
                <w:iCs w:val="0"/>
                <w:sz w:val="22"/>
                <w:szCs w:val="22"/>
                <w:lang w:eastAsia="de-DE"/>
              </w:rPr>
              <w:tab/>
            </w:r>
            <w:r w:rsidR="006007DF" w:rsidRPr="00872B39">
              <w:rPr>
                <w:rStyle w:val="Hyperlink"/>
              </w:rPr>
              <w:t>Moderne Bundeswehr</w:t>
            </w:r>
            <w:r w:rsidR="006007DF" w:rsidRPr="00872B39">
              <w:rPr>
                <w:webHidden/>
              </w:rPr>
              <w:tab/>
            </w:r>
            <w:r w:rsidR="006007DF" w:rsidRPr="00872B39">
              <w:rPr>
                <w:webHidden/>
              </w:rPr>
              <w:fldChar w:fldCharType="begin"/>
            </w:r>
            <w:r w:rsidR="006007DF" w:rsidRPr="00872B39">
              <w:rPr>
                <w:webHidden/>
              </w:rPr>
              <w:instrText xml:space="preserve"> PAGEREF _Toc505767197 \h </w:instrText>
            </w:r>
            <w:r w:rsidR="006007DF" w:rsidRPr="00872B39">
              <w:rPr>
                <w:webHidden/>
              </w:rPr>
            </w:r>
            <w:r w:rsidR="006007DF" w:rsidRPr="00872B39">
              <w:rPr>
                <w:webHidden/>
              </w:rPr>
              <w:fldChar w:fldCharType="separate"/>
            </w:r>
            <w:r w:rsidR="00C52EEB">
              <w:rPr>
                <w:webHidden/>
              </w:rPr>
              <w:t>156</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198" w:history="1">
            <w:r w:rsidR="006007DF" w:rsidRPr="00872B39">
              <w:rPr>
                <w:rStyle w:val="Hyperlink"/>
              </w:rPr>
              <w:t>8.</w:t>
            </w:r>
            <w:r w:rsidR="006007DF" w:rsidRPr="00872B39">
              <w:rPr>
                <w:rFonts w:eastAsiaTheme="minorEastAsia"/>
                <w:i w:val="0"/>
                <w:iCs w:val="0"/>
                <w:sz w:val="22"/>
                <w:szCs w:val="22"/>
                <w:lang w:eastAsia="de-DE"/>
              </w:rPr>
              <w:tab/>
            </w:r>
            <w:r w:rsidR="006007DF" w:rsidRPr="00872B39">
              <w:rPr>
                <w:rStyle w:val="Hyperlink"/>
              </w:rPr>
              <w:t>Entwicklungspolitik für eine gerechte Globalisierung</w:t>
            </w:r>
            <w:r w:rsidR="006007DF" w:rsidRPr="00872B39">
              <w:rPr>
                <w:webHidden/>
              </w:rPr>
              <w:tab/>
            </w:r>
            <w:r w:rsidR="006007DF" w:rsidRPr="00872B39">
              <w:rPr>
                <w:webHidden/>
              </w:rPr>
              <w:fldChar w:fldCharType="begin"/>
            </w:r>
            <w:r w:rsidR="006007DF" w:rsidRPr="00872B39">
              <w:rPr>
                <w:webHidden/>
              </w:rPr>
              <w:instrText xml:space="preserve"> PAGEREF _Toc505767198 \h </w:instrText>
            </w:r>
            <w:r w:rsidR="006007DF" w:rsidRPr="00872B39">
              <w:rPr>
                <w:webHidden/>
              </w:rPr>
            </w:r>
            <w:r w:rsidR="006007DF" w:rsidRPr="00872B39">
              <w:rPr>
                <w:webHidden/>
              </w:rPr>
              <w:fldChar w:fldCharType="separate"/>
            </w:r>
            <w:r w:rsidR="00C52EEB">
              <w:rPr>
                <w:webHidden/>
              </w:rPr>
              <w:t>159</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199" w:history="1">
            <w:r w:rsidR="006007DF" w:rsidRPr="00872B39">
              <w:rPr>
                <w:rStyle w:val="Hyperlink"/>
                <w:rFonts w:ascii="Arial" w:hAnsi="Arial" w:cs="Arial"/>
                <w:noProof/>
              </w:rPr>
              <w:t>XIII.</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Zusammenhalt und Erneuerung – Demokratie beleben</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_Toc505767199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163</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200"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Bürgerbeteiligung</w:t>
            </w:r>
            <w:r w:rsidR="006007DF" w:rsidRPr="00872B39">
              <w:rPr>
                <w:webHidden/>
              </w:rPr>
              <w:tab/>
            </w:r>
            <w:r w:rsidR="006007DF" w:rsidRPr="00872B39">
              <w:rPr>
                <w:webHidden/>
              </w:rPr>
              <w:fldChar w:fldCharType="begin"/>
            </w:r>
            <w:r w:rsidR="006007DF" w:rsidRPr="00872B39">
              <w:rPr>
                <w:webHidden/>
              </w:rPr>
              <w:instrText xml:space="preserve"> PAGEREF _Toc505767200 \h </w:instrText>
            </w:r>
            <w:r w:rsidR="006007DF" w:rsidRPr="00872B39">
              <w:rPr>
                <w:webHidden/>
              </w:rPr>
            </w:r>
            <w:r w:rsidR="006007DF" w:rsidRPr="00872B39">
              <w:rPr>
                <w:webHidden/>
              </w:rPr>
              <w:fldChar w:fldCharType="separate"/>
            </w:r>
            <w:r w:rsidR="00C52EEB">
              <w:rPr>
                <w:webHidden/>
              </w:rPr>
              <w:t>163</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201"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Kunst, Kultur und Medien</w:t>
            </w:r>
            <w:r w:rsidR="006007DF" w:rsidRPr="00872B39">
              <w:rPr>
                <w:webHidden/>
              </w:rPr>
              <w:tab/>
            </w:r>
            <w:r w:rsidR="006007DF" w:rsidRPr="00872B39">
              <w:rPr>
                <w:webHidden/>
              </w:rPr>
              <w:fldChar w:fldCharType="begin"/>
            </w:r>
            <w:r w:rsidR="006007DF" w:rsidRPr="00872B39">
              <w:rPr>
                <w:webHidden/>
              </w:rPr>
              <w:instrText xml:space="preserve"> PAGEREF _Toc505767201 \h </w:instrText>
            </w:r>
            <w:r w:rsidR="006007DF" w:rsidRPr="00872B39">
              <w:rPr>
                <w:webHidden/>
              </w:rPr>
            </w:r>
            <w:r w:rsidR="006007DF" w:rsidRPr="00872B39">
              <w:rPr>
                <w:webHidden/>
              </w:rPr>
              <w:fldChar w:fldCharType="separate"/>
            </w:r>
            <w:r w:rsidR="00C52EEB">
              <w:rPr>
                <w:webHidden/>
              </w:rPr>
              <w:t>163</w:t>
            </w:r>
            <w:r w:rsidR="006007DF" w:rsidRPr="00872B39">
              <w:rPr>
                <w:webHidden/>
              </w:rPr>
              <w:fldChar w:fldCharType="end"/>
            </w:r>
          </w:hyperlink>
        </w:p>
        <w:p w:rsidR="007F452D" w:rsidRPr="00872B39" w:rsidRDefault="005F35E2">
          <w:pPr>
            <w:pStyle w:val="Verzeichnis1"/>
            <w:rPr>
              <w:rFonts w:ascii="Arial" w:eastAsiaTheme="minorEastAsia" w:hAnsi="Arial" w:cs="Arial"/>
              <w:b w:val="0"/>
              <w:bCs w:val="0"/>
              <w:noProof/>
              <w:sz w:val="22"/>
              <w:szCs w:val="22"/>
              <w:lang w:eastAsia="de-DE"/>
            </w:rPr>
          </w:pPr>
          <w:hyperlink w:anchor="_Toc505767202" w:history="1">
            <w:r w:rsidR="006007DF" w:rsidRPr="00872B39">
              <w:rPr>
                <w:rStyle w:val="Hyperlink"/>
                <w:rFonts w:ascii="Arial" w:hAnsi="Arial" w:cs="Arial"/>
                <w:noProof/>
              </w:rPr>
              <w:t>XIV.</w:t>
            </w:r>
            <w:r w:rsidR="006007DF" w:rsidRPr="00872B39">
              <w:rPr>
                <w:rFonts w:ascii="Arial" w:eastAsiaTheme="minorEastAsia" w:hAnsi="Arial" w:cs="Arial"/>
                <w:b w:val="0"/>
                <w:bCs w:val="0"/>
                <w:noProof/>
                <w:sz w:val="22"/>
                <w:szCs w:val="22"/>
                <w:lang w:eastAsia="de-DE"/>
              </w:rPr>
              <w:tab/>
            </w:r>
            <w:r w:rsidR="006007DF" w:rsidRPr="00872B39">
              <w:rPr>
                <w:rStyle w:val="Hyperlink"/>
                <w:rFonts w:ascii="Arial" w:hAnsi="Arial" w:cs="Arial"/>
                <w:noProof/>
              </w:rPr>
              <w:t>Arbeitsweise der Regierung und Fraktionen</w:t>
            </w:r>
            <w:r w:rsidR="006007DF" w:rsidRPr="00872B39">
              <w:rPr>
                <w:rFonts w:ascii="Arial" w:hAnsi="Arial" w:cs="Arial"/>
                <w:noProof/>
                <w:webHidden/>
              </w:rPr>
              <w:tab/>
            </w:r>
            <w:r w:rsidR="006007DF" w:rsidRPr="00872B39">
              <w:rPr>
                <w:rFonts w:ascii="Arial" w:hAnsi="Arial" w:cs="Arial"/>
                <w:noProof/>
                <w:webHidden/>
              </w:rPr>
              <w:fldChar w:fldCharType="begin"/>
            </w:r>
            <w:r w:rsidR="006007DF" w:rsidRPr="00872B39">
              <w:rPr>
                <w:rFonts w:ascii="Arial" w:hAnsi="Arial" w:cs="Arial"/>
                <w:noProof/>
                <w:webHidden/>
              </w:rPr>
              <w:instrText xml:space="preserve"> PAGEREF _Toc505767202 \h </w:instrText>
            </w:r>
            <w:r w:rsidR="006007DF" w:rsidRPr="00872B39">
              <w:rPr>
                <w:rFonts w:ascii="Arial" w:hAnsi="Arial" w:cs="Arial"/>
                <w:noProof/>
                <w:webHidden/>
              </w:rPr>
            </w:r>
            <w:r w:rsidR="006007DF" w:rsidRPr="00872B39">
              <w:rPr>
                <w:rFonts w:ascii="Arial" w:hAnsi="Arial" w:cs="Arial"/>
                <w:noProof/>
                <w:webHidden/>
              </w:rPr>
              <w:fldChar w:fldCharType="separate"/>
            </w:r>
            <w:r w:rsidR="00C52EEB">
              <w:rPr>
                <w:rFonts w:ascii="Arial" w:hAnsi="Arial" w:cs="Arial"/>
                <w:noProof/>
                <w:webHidden/>
              </w:rPr>
              <w:t>173</w:t>
            </w:r>
            <w:r w:rsidR="006007DF" w:rsidRPr="00872B39">
              <w:rPr>
                <w:rFonts w:ascii="Arial" w:hAnsi="Arial" w:cs="Arial"/>
                <w:noProof/>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203" w:history="1">
            <w:r w:rsidR="006007DF" w:rsidRPr="00872B39">
              <w:rPr>
                <w:rStyle w:val="Hyperlink"/>
              </w:rPr>
              <w:t>1.</w:t>
            </w:r>
            <w:r w:rsidR="006007DF" w:rsidRPr="00872B39">
              <w:rPr>
                <w:rFonts w:eastAsiaTheme="minorEastAsia"/>
                <w:i w:val="0"/>
                <w:iCs w:val="0"/>
                <w:sz w:val="22"/>
                <w:szCs w:val="22"/>
                <w:lang w:eastAsia="de-DE"/>
              </w:rPr>
              <w:tab/>
            </w:r>
            <w:r w:rsidR="006007DF" w:rsidRPr="00872B39">
              <w:rPr>
                <w:rStyle w:val="Hyperlink"/>
              </w:rPr>
              <w:t>Arbeitsweise der Regierung und Fraktionen</w:t>
            </w:r>
            <w:r w:rsidR="006007DF" w:rsidRPr="00872B39">
              <w:rPr>
                <w:webHidden/>
              </w:rPr>
              <w:tab/>
            </w:r>
            <w:r w:rsidR="006007DF" w:rsidRPr="00872B39">
              <w:rPr>
                <w:webHidden/>
              </w:rPr>
              <w:fldChar w:fldCharType="begin"/>
            </w:r>
            <w:r w:rsidR="006007DF" w:rsidRPr="00872B39">
              <w:rPr>
                <w:webHidden/>
              </w:rPr>
              <w:instrText xml:space="preserve"> PAGEREF _Toc505767203 \h </w:instrText>
            </w:r>
            <w:r w:rsidR="006007DF" w:rsidRPr="00872B39">
              <w:rPr>
                <w:webHidden/>
              </w:rPr>
            </w:r>
            <w:r w:rsidR="006007DF" w:rsidRPr="00872B39">
              <w:rPr>
                <w:webHidden/>
              </w:rPr>
              <w:fldChar w:fldCharType="separate"/>
            </w:r>
            <w:r w:rsidR="00C52EEB">
              <w:rPr>
                <w:webHidden/>
              </w:rPr>
              <w:t>173</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204" w:history="1">
            <w:r w:rsidR="006007DF" w:rsidRPr="00872B39">
              <w:rPr>
                <w:rStyle w:val="Hyperlink"/>
              </w:rPr>
              <w:t>2.</w:t>
            </w:r>
            <w:r w:rsidR="006007DF" w:rsidRPr="00872B39">
              <w:rPr>
                <w:rFonts w:eastAsiaTheme="minorEastAsia"/>
                <w:i w:val="0"/>
                <w:iCs w:val="0"/>
                <w:sz w:val="22"/>
                <w:szCs w:val="22"/>
                <w:lang w:eastAsia="de-DE"/>
              </w:rPr>
              <w:tab/>
            </w:r>
            <w:r w:rsidR="006007DF" w:rsidRPr="00872B39">
              <w:rPr>
                <w:rStyle w:val="Hyperlink"/>
              </w:rPr>
              <w:t>Kooperation der Parteien</w:t>
            </w:r>
            <w:r w:rsidR="006007DF" w:rsidRPr="00872B39">
              <w:rPr>
                <w:webHidden/>
              </w:rPr>
              <w:tab/>
            </w:r>
            <w:r w:rsidR="006007DF" w:rsidRPr="00872B39">
              <w:rPr>
                <w:webHidden/>
              </w:rPr>
              <w:fldChar w:fldCharType="begin"/>
            </w:r>
            <w:r w:rsidR="006007DF" w:rsidRPr="00872B39">
              <w:rPr>
                <w:webHidden/>
              </w:rPr>
              <w:instrText xml:space="preserve"> PAGEREF _Toc505767204 \h </w:instrText>
            </w:r>
            <w:r w:rsidR="006007DF" w:rsidRPr="00872B39">
              <w:rPr>
                <w:webHidden/>
              </w:rPr>
            </w:r>
            <w:r w:rsidR="006007DF" w:rsidRPr="00872B39">
              <w:rPr>
                <w:webHidden/>
              </w:rPr>
              <w:fldChar w:fldCharType="separate"/>
            </w:r>
            <w:r w:rsidR="00C52EEB">
              <w:rPr>
                <w:webHidden/>
              </w:rPr>
              <w:t>173</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205" w:history="1">
            <w:r w:rsidR="006007DF" w:rsidRPr="00872B39">
              <w:rPr>
                <w:rStyle w:val="Hyperlink"/>
              </w:rPr>
              <w:t>3.</w:t>
            </w:r>
            <w:r w:rsidR="006007DF" w:rsidRPr="00872B39">
              <w:rPr>
                <w:rFonts w:eastAsiaTheme="minorEastAsia"/>
                <w:i w:val="0"/>
                <w:iCs w:val="0"/>
                <w:sz w:val="22"/>
                <w:szCs w:val="22"/>
                <w:lang w:eastAsia="de-DE"/>
              </w:rPr>
              <w:tab/>
            </w:r>
            <w:r w:rsidR="006007DF" w:rsidRPr="00872B39">
              <w:rPr>
                <w:rStyle w:val="Hyperlink"/>
              </w:rPr>
              <w:t>Kooperation der Fraktionen</w:t>
            </w:r>
            <w:r w:rsidR="006007DF" w:rsidRPr="00872B39">
              <w:rPr>
                <w:webHidden/>
              </w:rPr>
              <w:tab/>
            </w:r>
            <w:r w:rsidR="006007DF" w:rsidRPr="00872B39">
              <w:rPr>
                <w:webHidden/>
              </w:rPr>
              <w:fldChar w:fldCharType="begin"/>
            </w:r>
            <w:r w:rsidR="006007DF" w:rsidRPr="00872B39">
              <w:rPr>
                <w:webHidden/>
              </w:rPr>
              <w:instrText xml:space="preserve"> PAGEREF _Toc505767205 \h </w:instrText>
            </w:r>
            <w:r w:rsidR="006007DF" w:rsidRPr="00872B39">
              <w:rPr>
                <w:webHidden/>
              </w:rPr>
            </w:r>
            <w:r w:rsidR="006007DF" w:rsidRPr="00872B39">
              <w:rPr>
                <w:webHidden/>
              </w:rPr>
              <w:fldChar w:fldCharType="separate"/>
            </w:r>
            <w:r w:rsidR="00C52EEB">
              <w:rPr>
                <w:webHidden/>
              </w:rPr>
              <w:t>173</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206" w:history="1">
            <w:r w:rsidR="006007DF" w:rsidRPr="00872B39">
              <w:rPr>
                <w:rStyle w:val="Hyperlink"/>
              </w:rPr>
              <w:t>4.</w:t>
            </w:r>
            <w:r w:rsidR="006007DF" w:rsidRPr="00872B39">
              <w:rPr>
                <w:rFonts w:eastAsiaTheme="minorEastAsia"/>
                <w:i w:val="0"/>
                <w:iCs w:val="0"/>
                <w:sz w:val="22"/>
                <w:szCs w:val="22"/>
                <w:lang w:eastAsia="de-DE"/>
              </w:rPr>
              <w:tab/>
            </w:r>
            <w:r w:rsidR="006007DF" w:rsidRPr="00872B39">
              <w:rPr>
                <w:rStyle w:val="Hyperlink"/>
              </w:rPr>
              <w:t>Arbeit in der Bundesregierung</w:t>
            </w:r>
            <w:r w:rsidR="006007DF" w:rsidRPr="00872B39">
              <w:rPr>
                <w:webHidden/>
              </w:rPr>
              <w:tab/>
            </w:r>
            <w:r w:rsidR="006007DF" w:rsidRPr="00872B39">
              <w:rPr>
                <w:webHidden/>
              </w:rPr>
              <w:fldChar w:fldCharType="begin"/>
            </w:r>
            <w:r w:rsidR="006007DF" w:rsidRPr="00872B39">
              <w:rPr>
                <w:webHidden/>
              </w:rPr>
              <w:instrText xml:space="preserve"> PAGEREF _Toc505767206 \h </w:instrText>
            </w:r>
            <w:r w:rsidR="006007DF" w:rsidRPr="00872B39">
              <w:rPr>
                <w:webHidden/>
              </w:rPr>
            </w:r>
            <w:r w:rsidR="006007DF" w:rsidRPr="00872B39">
              <w:rPr>
                <w:webHidden/>
              </w:rPr>
              <w:fldChar w:fldCharType="separate"/>
            </w:r>
            <w:r w:rsidR="00C52EEB">
              <w:rPr>
                <w:webHidden/>
              </w:rPr>
              <w:t>174</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207" w:history="1">
            <w:r w:rsidR="006007DF" w:rsidRPr="00872B39">
              <w:rPr>
                <w:rStyle w:val="Hyperlink"/>
              </w:rPr>
              <w:t>5.</w:t>
            </w:r>
            <w:r w:rsidR="006007DF" w:rsidRPr="00872B39">
              <w:rPr>
                <w:rFonts w:eastAsiaTheme="minorEastAsia"/>
                <w:i w:val="0"/>
                <w:iCs w:val="0"/>
                <w:sz w:val="22"/>
                <w:szCs w:val="22"/>
                <w:lang w:eastAsia="de-DE"/>
              </w:rPr>
              <w:tab/>
            </w:r>
            <w:r w:rsidR="006007DF" w:rsidRPr="00872B39">
              <w:rPr>
                <w:rStyle w:val="Hyperlink"/>
              </w:rPr>
              <w:t>Europapolitische Koordinierung</w:t>
            </w:r>
            <w:r w:rsidR="006007DF" w:rsidRPr="00872B39">
              <w:rPr>
                <w:webHidden/>
              </w:rPr>
              <w:tab/>
            </w:r>
            <w:r w:rsidR="006007DF" w:rsidRPr="00872B39">
              <w:rPr>
                <w:webHidden/>
              </w:rPr>
              <w:fldChar w:fldCharType="begin"/>
            </w:r>
            <w:r w:rsidR="006007DF" w:rsidRPr="00872B39">
              <w:rPr>
                <w:webHidden/>
              </w:rPr>
              <w:instrText xml:space="preserve"> PAGEREF _Toc505767207 \h </w:instrText>
            </w:r>
            <w:r w:rsidR="006007DF" w:rsidRPr="00872B39">
              <w:rPr>
                <w:webHidden/>
              </w:rPr>
            </w:r>
            <w:r w:rsidR="006007DF" w:rsidRPr="00872B39">
              <w:rPr>
                <w:webHidden/>
              </w:rPr>
              <w:fldChar w:fldCharType="separate"/>
            </w:r>
            <w:r w:rsidR="00C52EEB">
              <w:rPr>
                <w:webHidden/>
              </w:rPr>
              <w:t>174</w:t>
            </w:r>
            <w:r w:rsidR="006007DF" w:rsidRPr="00872B39">
              <w:rPr>
                <w:webHidden/>
              </w:rPr>
              <w:fldChar w:fldCharType="end"/>
            </w:r>
          </w:hyperlink>
        </w:p>
        <w:p w:rsidR="007F452D" w:rsidRPr="00872B39" w:rsidRDefault="005F35E2">
          <w:pPr>
            <w:pStyle w:val="Verzeichnis2"/>
            <w:rPr>
              <w:rFonts w:eastAsiaTheme="minorEastAsia"/>
              <w:i w:val="0"/>
              <w:iCs w:val="0"/>
              <w:sz w:val="22"/>
              <w:szCs w:val="22"/>
              <w:lang w:eastAsia="de-DE"/>
            </w:rPr>
          </w:pPr>
          <w:hyperlink w:anchor="_Toc505767208" w:history="1">
            <w:r w:rsidR="006007DF" w:rsidRPr="00872B39">
              <w:rPr>
                <w:rStyle w:val="Hyperlink"/>
              </w:rPr>
              <w:t>6.</w:t>
            </w:r>
            <w:r w:rsidR="006007DF" w:rsidRPr="00872B39">
              <w:rPr>
                <w:rFonts w:eastAsiaTheme="minorEastAsia"/>
                <w:i w:val="0"/>
                <w:iCs w:val="0"/>
                <w:sz w:val="22"/>
                <w:szCs w:val="22"/>
                <w:lang w:eastAsia="de-DE"/>
              </w:rPr>
              <w:tab/>
            </w:r>
            <w:r w:rsidR="006007DF" w:rsidRPr="00872B39">
              <w:rPr>
                <w:rStyle w:val="Hyperlink"/>
              </w:rPr>
              <w:t>Evaluierung</w:t>
            </w:r>
            <w:r w:rsidR="006007DF" w:rsidRPr="00872B39">
              <w:rPr>
                <w:webHidden/>
              </w:rPr>
              <w:tab/>
            </w:r>
            <w:r w:rsidR="006007DF" w:rsidRPr="00872B39">
              <w:rPr>
                <w:webHidden/>
              </w:rPr>
              <w:fldChar w:fldCharType="begin"/>
            </w:r>
            <w:r w:rsidR="006007DF" w:rsidRPr="00872B39">
              <w:rPr>
                <w:webHidden/>
              </w:rPr>
              <w:instrText xml:space="preserve"> PAGEREF _Toc505767208 \h </w:instrText>
            </w:r>
            <w:r w:rsidR="006007DF" w:rsidRPr="00872B39">
              <w:rPr>
                <w:webHidden/>
              </w:rPr>
            </w:r>
            <w:r w:rsidR="006007DF" w:rsidRPr="00872B39">
              <w:rPr>
                <w:webHidden/>
              </w:rPr>
              <w:fldChar w:fldCharType="separate"/>
            </w:r>
            <w:r w:rsidR="00C52EEB">
              <w:rPr>
                <w:webHidden/>
              </w:rPr>
              <w:t>174</w:t>
            </w:r>
            <w:r w:rsidR="006007DF" w:rsidRPr="00872B39">
              <w:rPr>
                <w:webHidden/>
              </w:rPr>
              <w:fldChar w:fldCharType="end"/>
            </w:r>
          </w:hyperlink>
        </w:p>
        <w:p w:rsidR="007F452D" w:rsidRDefault="006007DF">
          <w:pPr>
            <w:spacing w:after="0" w:line="240" w:lineRule="auto"/>
            <w:ind w:left="567" w:hanging="567"/>
            <w:contextualSpacing/>
            <w:rPr>
              <w:rFonts w:ascii="Arial" w:hAnsi="Arial" w:cs="Arial"/>
              <w:sz w:val="24"/>
              <w:szCs w:val="24"/>
            </w:rPr>
          </w:pPr>
          <w:r w:rsidRPr="00872B39">
            <w:rPr>
              <w:rFonts w:ascii="Arial" w:hAnsi="Arial" w:cs="Arial"/>
              <w:b/>
              <w:bCs/>
              <w:sz w:val="24"/>
              <w:szCs w:val="24"/>
            </w:rPr>
            <w:fldChar w:fldCharType="end"/>
          </w:r>
        </w:p>
      </w:sdtContent>
    </w:sdt>
    <w:p w:rsidR="007F452D" w:rsidRDefault="007F452D">
      <w:pPr>
        <w:suppressLineNumbers/>
        <w:spacing w:after="0" w:line="240" w:lineRule="auto"/>
        <w:contextualSpacing/>
        <w:rPr>
          <w:rFonts w:ascii="Arial" w:hAnsi="Arial" w:cs="Arial"/>
          <w:sz w:val="24"/>
          <w:szCs w:val="24"/>
        </w:rPr>
        <w:sectPr w:rsidR="007F452D">
          <w:headerReference w:type="default" r:id="rId8"/>
          <w:footerReference w:type="default" r:id="rId9"/>
          <w:headerReference w:type="first" r:id="rId10"/>
          <w:pgSz w:w="11906" w:h="16838"/>
          <w:pgMar w:top="1417" w:right="1417" w:bottom="1134" w:left="1417" w:header="708" w:footer="708" w:gutter="0"/>
          <w:cols w:space="708"/>
          <w:titlePg/>
          <w:docGrid w:linePitch="360"/>
        </w:sectPr>
      </w:pPr>
    </w:p>
    <w:p w:rsidR="007F452D" w:rsidRDefault="006007DF">
      <w:pPr>
        <w:pStyle w:val="berschrift1"/>
        <w:contextualSpacing/>
      </w:pPr>
      <w:bookmarkStart w:id="0" w:name="_Toc505767138"/>
      <w:r>
        <w:lastRenderedPageBreak/>
        <w:t>Präambel</w:t>
      </w:r>
      <w:bookmarkEnd w:id="0"/>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erleben neue politische Zeiten mit vielfältigen Herausforderungen für Deutschland – sowohl international als auch national. Deutschland ist weltweit ein anerkannter Partner, aber nur mit einem neuen Aufbruch für Europa wird Deutschland langfristig Frieden, Sicherheit und Wohlstand garantieren können. Die Europäische Union muss ihre Werte und ihr Wohlstandsversprechen bewahren und erneuern. Nur eine starke Europäische Union ist der Garant für eine Zukunft in Frieden, Sicherheit und Wohlstand.</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eine neue Dynamik für Deutschland. Nur so können wir das Erreichte sichern und ausbauen. Unsere Ausgangslage ist gut. Die Wirtschaft boomt, noch nie waren so viele Menschen in Arbeit und Beschäftigung. Das ist auch Ergebnis der Regierungszusammenarbeit von CDU, CSU und SPD. Unsere heutige wirtschaftliche Stärke eröffnet die Chance, Gerechtigkeit langfristig zu sichern. Unser Ziel ist ein nachhaltiges und inklusives Wachstum, dessen Erträge allen zugutekommen. Wir wollen die kreativen Potenziale in Deutschland mobilisieren und die Chancen der Digitalisierung nutzen. Deutschland braucht wirtschaftlichen und sozialen Fortschritt, an dem alle teilhaben.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dass der Wohlstand bei allen Menschen ankommt. Das Wahlergebnis hat gezeigt, dass viele Menschen unzufrieden und verunsichert sind. Daraus ziehen wir mit dem vorliegenden Koalitionsvertrag und seiner Politik die entsprechenden Schlüsse. Wir wollen sichern, was gut ist, aber gleichzeitig den Mut zur politischen Debatte, zu Erneuerung und für Veränderung beweisen.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Bürgerinnen und Bürger haben ein starkes Bedürfnis nach Gemeinschaft,</w:t>
      </w:r>
      <w:r>
        <w:t xml:space="preserve"> </w:t>
      </w:r>
      <w:r>
        <w:rPr>
          <w:rFonts w:ascii="Arial" w:hAnsi="Arial" w:cs="Arial"/>
          <w:sz w:val="24"/>
          <w:szCs w:val="24"/>
        </w:rPr>
        <w:t>Sicherheit im Alltag, Bewahrung der kulturellen Identität, Stabilität, einem guten Miteinander und einer gestaltenden Politik, die Menschen auf Augenhöhe zusammenbringt. Millionen Menschen engagieren sich in Deutschland in sozialen, kulturellen und lokalen Bewegungen sowie in Gemeinde- und Stadträten, Kreistagen, Kirchen und Religionsgemeinschaften für unser Gemeinwesen. Gemeinsam mit ihnen wollen wir unser Land besser, sicherer und gerechter machen.</w:t>
      </w:r>
    </w:p>
    <w:p w:rsidR="007F452D" w:rsidRDefault="007F452D">
      <w:pPr>
        <w:spacing w:after="0" w:line="240" w:lineRule="auto"/>
        <w:contextualSpacing/>
        <w:jc w:val="both"/>
        <w:rPr>
          <w:rFonts w:ascii="Arial" w:hAnsi="Arial" w:cs="Arial"/>
          <w:sz w:val="24"/>
          <w:szCs w:val="24"/>
        </w:rPr>
      </w:pPr>
    </w:p>
    <w:p w:rsidR="007F452D" w:rsidRDefault="006007DF" w:rsidP="00D10046">
      <w:pPr>
        <w:spacing w:after="0" w:line="240" w:lineRule="auto"/>
        <w:contextualSpacing/>
        <w:jc w:val="both"/>
        <w:rPr>
          <w:rFonts w:ascii="Arial" w:hAnsi="Arial" w:cs="Arial"/>
          <w:sz w:val="24"/>
          <w:szCs w:val="24"/>
        </w:rPr>
      </w:pPr>
      <w:r>
        <w:rPr>
          <w:rFonts w:ascii="Arial" w:hAnsi="Arial" w:cs="Arial"/>
          <w:sz w:val="24"/>
          <w:szCs w:val="24"/>
        </w:rPr>
        <w:t>Wir werden die Probleme anpacken, welche die Menschen in ihrem Alltag bewegen, und setzen uns mutige Ziele für die nächsten vier Jahre. Wir arbeiten für Stabilität und Zusammenhalt, für Erneuerung und Sicherheit und für die Gleichwertigkeit der Lebensverhältnisse in unserem Land. Die besonderen Herausforderungen in Ostdeutschland erkennen wir als gesamtdeutschen Auftrag an.</w:t>
      </w:r>
    </w:p>
    <w:p w:rsidR="007F452D" w:rsidRDefault="007F452D">
      <w:pPr>
        <w:spacing w:after="0" w:line="240" w:lineRule="auto"/>
        <w:contextualSpacing/>
        <w:rPr>
          <w:rFonts w:eastAsia="Times New Roman"/>
          <w:u w:val="single"/>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Den sozialen Zusammenhalt in unserem Land wollen wir stärken und die entstandenen Spaltungen überwinden. Wir nehmen die Ängste der Menschen ernst und wollen ihnen durch unsere gemeinsame Arbeit umfassend begegnen. Wir geben allen Kindern und Jugendlichen gleiche Bildungschancen, damit Leistung und Talent über die persönliche Zukunft entscheiden, nicht die soziale Herkunft. Wir schaffen neue Perspektiven für gute Arbeit und mehr Sicherheit im Alter.</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dass die Menschen bei uns die vielfältigen Chancen nutzen und in Sicherheit leben können. Familien stärken wir und sorgen dafür, dass Familie und Beruf besser vereinbar sind.</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Unser gemeinsames Ziel ist Vollbeschäftigung in Deutschland. Auch deshalb wollen wir Arbeit und Leben besser vereinbaren und unsere sozialen Sicherungssysteme modernisieren. Wir werden die Gesundheits- und Pflegeversicherung, die Alterssicherung und die Unterstützung bei Arbeitslosigkeit weiter verbessern und an veränderte Rahmenbedingungen anpassen, damit die Bürgerinnen und Bürger auch in Zukunft verlässlich abgesichert sind.</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unser Land erneuern, in die Zukunft investieren und Innovationen fördern, damit wir unseren Wohlstand erhalten und ausbauen können.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investieren in unser Land. Wir sorgen für genügend Kitaplätze, digital ausgestattete Schulen und schnelles Internet in Stadt und Land. Wir machen Deutschland zur energieeffizientesten Volkswirtschaft der Welt. Wir stärken unsere Sicherheitsbehörden und gewährleisten dadurch bestmögliche Sicherheit.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Den digitalen Wandel von Wirtschaft, Arbeit und Gesellschaft werden wir so gestalten, dass alle davon profitieren. Wir setzen auf Innovationen und wollen aus technischem sozialen Fortschritt machen.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Migration in Zukunft besser steuern und ordnen sowie die Integration von Zugewanderten in unsere Gesellschaft umfassender fordern und unterstützen. Damit geben wir eine Antwort auf internationale Migrationsbewegungen auf der einen Seite und den Fachkräftebedarf in Deutschland auf der anderen Seite.</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Mit unserem internationalen Engagement wollen wir einen größeren Beitrag leisten, um weltweit zu besseren Lebensbedingungen beizutragen sowie Frieden wiederherzustellen und zu sichern. </w:t>
      </w:r>
    </w:p>
    <w:p w:rsidR="007F452D" w:rsidRDefault="007F452D">
      <w:pPr>
        <w:spacing w:after="0" w:line="240" w:lineRule="auto"/>
        <w:contextualSpacing/>
        <w:jc w:val="both"/>
        <w:rPr>
          <w:rFonts w:ascii="Arial" w:hAnsi="Arial" w:cs="Arial"/>
          <w:sz w:val="24"/>
          <w:szCs w:val="24"/>
        </w:rPr>
      </w:pPr>
    </w:p>
    <w:p w:rsidR="007F452D" w:rsidRDefault="006007DF" w:rsidP="00D10046">
      <w:pPr>
        <w:spacing w:after="0" w:line="240" w:lineRule="auto"/>
        <w:contextualSpacing/>
        <w:jc w:val="both"/>
        <w:rPr>
          <w:rFonts w:ascii="Arial" w:hAnsi="Arial" w:cs="Arial"/>
          <w:sz w:val="24"/>
          <w:szCs w:val="24"/>
        </w:rPr>
      </w:pPr>
      <w:r>
        <w:rPr>
          <w:rFonts w:ascii="Arial" w:hAnsi="Arial" w:cs="Arial"/>
          <w:sz w:val="24"/>
          <w:szCs w:val="24"/>
        </w:rPr>
        <w:t>Das Vertrauen der Bürgerinnen und Bürger in die Handlungsfähigkeit von Politik wollen wir wieder stärken, indem wir Erneuerung und Zusammenhalt in den Mittelpunkt unserer Arbeit stellen. Wir wollen eine stabile und handlungsfähige Regierung bilden, die das Richtige tut. Dabei streben wir einen politischen Stil an, der die öffentliche Debatte belebt, Unterschiede sichtbar lässt und damit die Demokratie stärkt.</w:t>
      </w:r>
      <w:r>
        <w:rPr>
          <w:rFonts w:ascii="Arial" w:hAnsi="Arial" w:cs="Arial"/>
          <w:sz w:val="24"/>
          <w:szCs w:val="24"/>
        </w:rPr>
        <w:br w:type="page"/>
      </w:r>
    </w:p>
    <w:p w:rsidR="007F452D" w:rsidRDefault="006007DF">
      <w:pPr>
        <w:pStyle w:val="berschrift1"/>
        <w:numPr>
          <w:ilvl w:val="0"/>
          <w:numId w:val="8"/>
        </w:numPr>
        <w:ind w:left="284" w:hanging="142"/>
        <w:contextualSpacing/>
      </w:pPr>
      <w:bookmarkStart w:id="1" w:name="_Toc505767139"/>
      <w:r>
        <w:lastRenderedPageBreak/>
        <w:t>Ein neuer Aufbruch für Europa</w:t>
      </w:r>
      <w:bookmarkEnd w:id="1"/>
    </w:p>
    <w:p w:rsidR="007F452D" w:rsidRDefault="007F452D">
      <w:pPr>
        <w:spacing w:after="0" w:line="240" w:lineRule="auto"/>
        <w:jc w:val="both"/>
        <w:rPr>
          <w:rFonts w:ascii="Arial" w:hAnsi="Arial" w:cs="Arial"/>
          <w:sz w:val="24"/>
          <w:szCs w:val="24"/>
        </w:rPr>
      </w:pPr>
    </w:p>
    <w:p w:rsidR="007F452D" w:rsidRDefault="006007DF">
      <w:pPr>
        <w:spacing w:after="0" w:line="240" w:lineRule="auto"/>
        <w:jc w:val="both"/>
        <w:rPr>
          <w:rFonts w:ascii="Arial" w:hAnsi="Arial" w:cs="Arial"/>
          <w:sz w:val="24"/>
          <w:szCs w:val="24"/>
        </w:rPr>
      </w:pPr>
      <w:r>
        <w:rPr>
          <w:rFonts w:ascii="Arial" w:hAnsi="Arial" w:cs="Arial"/>
          <w:sz w:val="24"/>
          <w:szCs w:val="24"/>
        </w:rPr>
        <w:t>Die Europäische Union ist ein historisch einzigartiges Friedens- und Erfolgsprojekt und muss es auch künftig bleiben. Sie verbindet wirtschaftliche Integration und Wohlstand mit Freiheit, Demokratie und sozialer Gerechtigkeit. Kern dieser europäischen Vision ist, dass die EU ihre gemeinsame politische und wirtschaftliche Kraft nutzt, um Frieden nach außen und Sicherheit und Wohlstand nach innen zu schaffen.</w:t>
      </w:r>
    </w:p>
    <w:p w:rsidR="007F452D" w:rsidRDefault="007F452D">
      <w:pPr>
        <w:spacing w:after="0" w:line="240" w:lineRule="auto"/>
        <w:jc w:val="both"/>
        <w:rPr>
          <w:rFonts w:ascii="Arial" w:hAnsi="Arial" w:cs="Arial"/>
          <w:sz w:val="24"/>
          <w:szCs w:val="24"/>
        </w:rPr>
      </w:pPr>
    </w:p>
    <w:p w:rsidR="007F452D" w:rsidRDefault="006007DF">
      <w:pPr>
        <w:spacing w:after="0" w:line="240" w:lineRule="auto"/>
        <w:jc w:val="both"/>
        <w:rPr>
          <w:rFonts w:ascii="Arial" w:hAnsi="Arial" w:cs="Arial"/>
          <w:sz w:val="24"/>
          <w:szCs w:val="24"/>
        </w:rPr>
      </w:pPr>
      <w:r>
        <w:rPr>
          <w:rFonts w:ascii="Arial" w:hAnsi="Arial" w:cs="Arial"/>
          <w:sz w:val="24"/>
          <w:szCs w:val="24"/>
        </w:rPr>
        <w:t xml:space="preserve">Deutschland hat Europa unendlich viel zu verdanken. Auch deshalb sind wir seinem Erfolg verpflichtet. Für Deutschland ist ein starkes und geeintes Europa der beste Garant für eine gute Zukunft in Frieden, Freiheit und Wohlstand. </w:t>
      </w:r>
    </w:p>
    <w:p w:rsidR="007F452D" w:rsidRDefault="007F452D">
      <w:pPr>
        <w:spacing w:after="0" w:line="240" w:lineRule="auto"/>
        <w:jc w:val="both"/>
        <w:rPr>
          <w:rFonts w:ascii="Arial" w:hAnsi="Arial" w:cs="Arial"/>
          <w:sz w:val="24"/>
          <w:szCs w:val="24"/>
        </w:rPr>
      </w:pPr>
    </w:p>
    <w:p w:rsidR="007F452D" w:rsidRDefault="006007DF">
      <w:pPr>
        <w:spacing w:after="0" w:line="240" w:lineRule="auto"/>
        <w:jc w:val="both"/>
        <w:rPr>
          <w:rFonts w:ascii="Arial" w:hAnsi="Arial" w:cs="Arial"/>
          <w:color w:val="000000"/>
          <w:sz w:val="24"/>
          <w:szCs w:val="24"/>
        </w:rPr>
      </w:pPr>
      <w:r>
        <w:rPr>
          <w:rFonts w:ascii="Arial" w:hAnsi="Arial" w:cs="Arial"/>
          <w:bCs/>
          <w:color w:val="000000"/>
          <w:sz w:val="24"/>
          <w:szCs w:val="24"/>
        </w:rPr>
        <w:t xml:space="preserve">So einzigartig die Erfolgsgeschichte der europäischen Einigung ist – selbstverständlich ist ihr Fortgang keineswegs. </w:t>
      </w:r>
      <w:r>
        <w:rPr>
          <w:rFonts w:ascii="Arial" w:hAnsi="Arial" w:cs="Arial"/>
          <w:color w:val="000000"/>
          <w:sz w:val="24"/>
          <w:szCs w:val="24"/>
        </w:rPr>
        <w:t xml:space="preserve">Die Herausforderungen, vor denen die Europäische Union steht, sind enorm. Das Vereinigte Königreich </w:t>
      </w:r>
      <w:r>
        <w:rPr>
          <w:rFonts w:ascii="Arial" w:hAnsi="Arial" w:cs="Arial"/>
          <w:sz w:val="24"/>
          <w:szCs w:val="24"/>
        </w:rPr>
        <w:t xml:space="preserve">hat sich zum Austritt aus der EU entschlossen. Die Herausforderungen durch Flucht und Migration stellen die europäische Partnerschaft und Solidarität auf eine harte Probe. Wachstum und Beschäftigung kommen zwar in Europa wieder besser in Schwung, die Folgen der Wirtschaftskrise sind aber noch nicht vollständig überwunden. Die Jugendarbeitslosigkeit ist in Teilen Europas noch immer besorgniserregend hoch. </w:t>
      </w:r>
      <w:r>
        <w:rPr>
          <w:rFonts w:ascii="Arial" w:hAnsi="Arial" w:cs="Arial"/>
          <w:color w:val="000000"/>
          <w:sz w:val="24"/>
          <w:szCs w:val="24"/>
        </w:rPr>
        <w:t xml:space="preserve">Die freiheitlichen und demokratischen Grundprinzipien, die in den europäischen Verträgen verankert sind, wollen wir gegen jeden Angriff durch politische Parteien und Bewegungen verteidigen. </w:t>
      </w:r>
    </w:p>
    <w:p w:rsidR="007F452D" w:rsidRDefault="007F452D">
      <w:pPr>
        <w:spacing w:after="0" w:line="240" w:lineRule="auto"/>
        <w:jc w:val="both"/>
        <w:rPr>
          <w:rFonts w:ascii="Arial" w:hAnsi="Arial" w:cs="Arial"/>
          <w:sz w:val="24"/>
          <w:szCs w:val="24"/>
        </w:rPr>
      </w:pPr>
    </w:p>
    <w:p w:rsidR="007F452D" w:rsidRDefault="006007DF">
      <w:pPr>
        <w:spacing w:after="0" w:line="240" w:lineRule="auto"/>
        <w:jc w:val="both"/>
        <w:rPr>
          <w:rFonts w:ascii="Arial" w:hAnsi="Arial" w:cs="Arial"/>
          <w:sz w:val="24"/>
          <w:szCs w:val="24"/>
        </w:rPr>
      </w:pPr>
      <w:r>
        <w:rPr>
          <w:rFonts w:ascii="Arial" w:hAnsi="Arial" w:cs="Arial"/>
          <w:color w:val="000000"/>
          <w:sz w:val="24"/>
          <w:szCs w:val="24"/>
        </w:rPr>
        <w:t xml:space="preserve">Hinzu kommt: </w:t>
      </w:r>
      <w:r>
        <w:rPr>
          <w:rFonts w:ascii="Arial" w:hAnsi="Arial" w:cs="Arial"/>
          <w:sz w:val="24"/>
          <w:szCs w:val="24"/>
        </w:rPr>
        <w:t xml:space="preserve">Die globalen Kräfteverhältnisse haben sich in den letzten Jahren grundlegend verändert, politisch, wirtschaftlich und militärisch. Neue Schwerpunktsetzungen der USA, das Erstarken Chinas und die Politik Russlands machen deutlich: Europa muss sein Schicksal mehr als bisher in die eigenen Hände nehmen. Nur gemeinsam hat die EU eine Chance, sich in dieser Welt zu behaupten und ihre gemeinsamen Interessen durchzusetzen. Nur gemeinsam können wir unsere Werte und unser solidarisches Gesellschaftsmodell, das sich mit der Sozialen Marktwirtschaft verbindet, verteidigen. Ein starkes, demokratisches, wettbewerbsfähiges und soziales Europa der Menschen muss unsere Antwort auf die Herausforderungen unserer Zeit sein. </w:t>
      </w:r>
    </w:p>
    <w:p w:rsidR="007F452D" w:rsidRDefault="007F452D">
      <w:pPr>
        <w:spacing w:after="0" w:line="240" w:lineRule="auto"/>
        <w:jc w:val="both"/>
        <w:rPr>
          <w:rFonts w:ascii="Arial" w:hAnsi="Arial" w:cs="Arial"/>
          <w:sz w:val="24"/>
          <w:szCs w:val="24"/>
        </w:rPr>
      </w:pPr>
    </w:p>
    <w:p w:rsidR="007F452D" w:rsidRDefault="006007DF">
      <w:pPr>
        <w:spacing w:after="0" w:line="240" w:lineRule="auto"/>
        <w:jc w:val="both"/>
        <w:rPr>
          <w:rFonts w:ascii="Arial" w:hAnsi="Arial" w:cs="Arial"/>
          <w:sz w:val="24"/>
          <w:szCs w:val="24"/>
        </w:rPr>
      </w:pPr>
      <w:r>
        <w:rPr>
          <w:rFonts w:ascii="Arial" w:hAnsi="Arial" w:cs="Arial"/>
          <w:sz w:val="24"/>
          <w:szCs w:val="24"/>
        </w:rPr>
        <w:t>Deshalb braucht die EU eine Erneuerung und einen neuen Aufbruch:</w:t>
      </w:r>
    </w:p>
    <w:p w:rsidR="007F452D" w:rsidRDefault="007F452D">
      <w:pPr>
        <w:spacing w:after="0" w:line="240" w:lineRule="auto"/>
        <w:jc w:val="both"/>
        <w:rPr>
          <w:rFonts w:ascii="Arial" w:hAnsi="Arial" w:cs="Arial"/>
          <w:sz w:val="24"/>
          <w:szCs w:val="24"/>
        </w:rPr>
      </w:pPr>
    </w:p>
    <w:p w:rsidR="007F452D" w:rsidRDefault="006007DF">
      <w:pPr>
        <w:spacing w:after="0" w:line="240" w:lineRule="auto"/>
        <w:jc w:val="both"/>
        <w:rPr>
          <w:rFonts w:ascii="Arial" w:hAnsi="Arial" w:cs="Arial"/>
          <w:b/>
          <w:sz w:val="24"/>
          <w:szCs w:val="24"/>
        </w:rPr>
      </w:pPr>
      <w:r>
        <w:rPr>
          <w:rFonts w:ascii="Arial" w:hAnsi="Arial" w:cs="Arial"/>
          <w:b/>
          <w:sz w:val="24"/>
          <w:szCs w:val="24"/>
        </w:rPr>
        <w:t>Wir wollen ein Europa der Demokratie und Solidarität</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Wir wollen den Zusammenhalt Europas auf Basis seiner demokratischen und rechtsstaatlichen Werte auf allen Ebenen vertiefen und das Prinzip der wechselseitigen Solidarität stärken.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Wir wollen, dass sich Deutschland aktiv in die Debatte über die Zukunft der EU und eine Stärkung der europäischen Integration einbringt und wollen die Bürgerinnen und Bürger in bundesweiten öffentlichen Dialogen an der Reformdebatte in Europa beteiligen. Wir wollen dadurch Europa bürgernäher und transparenter machen und neues Vertrauen gewinnen.</w:t>
      </w:r>
    </w:p>
    <w:p w:rsidR="007F452D" w:rsidRDefault="006007DF">
      <w:pPr>
        <w:pStyle w:val="Listenabsatz"/>
        <w:numPr>
          <w:ilvl w:val="0"/>
          <w:numId w:val="2"/>
        </w:numPr>
        <w:spacing w:after="0" w:line="240" w:lineRule="auto"/>
        <w:ind w:left="284" w:hanging="284"/>
        <w:jc w:val="both"/>
        <w:rPr>
          <w:rFonts w:ascii="Arial" w:eastAsia="Times New Roman" w:hAnsi="Arial" w:cs="Arial"/>
          <w:b/>
          <w:sz w:val="24"/>
          <w:szCs w:val="24"/>
          <w:u w:val="single"/>
          <w:lang w:eastAsia="de-DE"/>
        </w:rPr>
      </w:pPr>
      <w:r>
        <w:rPr>
          <w:rFonts w:ascii="Arial" w:hAnsi="Arial" w:cs="Arial"/>
          <w:sz w:val="24"/>
          <w:szCs w:val="24"/>
        </w:rPr>
        <w:t>Wir wollen ein Europa der Demokratie mit einem gestärkten Europäischen Parlament und einem lebendigen Parlamentarismus auf nationaler, regionaler und kommunaler Ebene.</w:t>
      </w:r>
      <w:r>
        <w:rPr>
          <w:rFonts w:ascii="Arial" w:eastAsia="Times New Roman" w:hAnsi="Arial" w:cs="Arial"/>
          <w:b/>
          <w:sz w:val="24"/>
          <w:szCs w:val="24"/>
          <w:u w:val="single"/>
          <w:lang w:eastAsia="de-DE"/>
        </w:rPr>
        <w:t xml:space="preserve">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lastRenderedPageBreak/>
        <w:t xml:space="preserve">Die demokratischen und rechtsstaatlichen Werte und Prinzipien, auf denen die europäische Einigung </w:t>
      </w:r>
      <w:r w:rsidR="00D10046">
        <w:rPr>
          <w:rFonts w:ascii="Arial" w:hAnsi="Arial" w:cs="Arial"/>
          <w:sz w:val="24"/>
          <w:szCs w:val="24"/>
        </w:rPr>
        <w:t>be</w:t>
      </w:r>
      <w:r>
        <w:rPr>
          <w:rFonts w:ascii="Arial" w:hAnsi="Arial" w:cs="Arial"/>
          <w:sz w:val="24"/>
          <w:szCs w:val="24"/>
        </w:rPr>
        <w:t xml:space="preserve">ruht, müssen noch konsequenter als bisher innerhalb der EU durchgesetzt werden. </w:t>
      </w:r>
    </w:p>
    <w:p w:rsidR="007F452D" w:rsidRDefault="007F452D">
      <w:pPr>
        <w:pStyle w:val="Listenabsatz"/>
        <w:spacing w:after="0" w:line="240" w:lineRule="auto"/>
        <w:contextualSpacing w:val="0"/>
        <w:jc w:val="both"/>
        <w:rPr>
          <w:rFonts w:ascii="Arial" w:eastAsia="Times New Roman" w:hAnsi="Arial" w:cs="Arial"/>
          <w:sz w:val="24"/>
          <w:szCs w:val="24"/>
          <w:lang w:eastAsia="de-DE"/>
        </w:rPr>
      </w:pPr>
    </w:p>
    <w:p w:rsidR="007F452D" w:rsidRDefault="006007DF">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Wir wollen ein Europa der Wettbewerbsfähigkeit und der Investitionen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Investitionen in Europa sind Investitionen in eine gute Zukunft unseres Landes. Wachstum und Wohlstand in Deutschland sind auf das Engste mit Wachstum und Wohlstand in Europa verknüpft.</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Wir wollen die Wettbewerbsfähigkeit der EU und ihre Wachstumskräfte im Kontext der Globalisierung stärken, um zukunftsgerechte Arbeitsplätze in der EU zu sichern und neue zu schaffen: Das ist die Basis unseres künftigen Wohlstands.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Die Soziale Marktwirtschaft, die auf Unternehmensverantwortung, Sozialpartnerschaft, Mitbestimmung und einer fairen Verteilung des erwirtschafteten Wohlstands beruht, braucht eine Renaissance, gerade in Zeiten der Digitalisierung.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Wir stärken in der EU die strategische Forschungspolitik, die Innovationsfähigkeit und vollenden den digitalen Binnenmarkt.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Wir wollen die Investitionskräfte in Europa auch dadurch stärken, dass wir Initiativen wie das Europäische Investitionsprogramm EFSI fortführen und ausbauen.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Wir brauchen weiterhin eine starke EU-Kohäsionspolitik in allen Regionen, insbesondere auch in den bisherigen Übergangs- und den stärker entwickelten Regionen. Wir wollen die wichtigen Strukturfonds der EU erhalten. Das muss auch nach dem Austritt des Vereinigten Königreichs aus der EU gelten.</w:t>
      </w:r>
    </w:p>
    <w:p w:rsidR="007F452D" w:rsidRDefault="007F452D">
      <w:pPr>
        <w:spacing w:after="0" w:line="240" w:lineRule="auto"/>
        <w:jc w:val="both"/>
        <w:rPr>
          <w:rFonts w:ascii="Arial" w:hAnsi="Arial" w:cs="Arial"/>
          <w:sz w:val="24"/>
          <w:szCs w:val="24"/>
        </w:rPr>
      </w:pPr>
    </w:p>
    <w:p w:rsidR="007F452D" w:rsidRDefault="006007DF">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Wir wollen ein Europa der Chancen und der Gerechtigkeit</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Europa muss ein Kontinent der Chancen sein, besonders für junge Menschen. Sie sind Europas Zukunft. Wir wollen, dass junge Menschen ihre Hoffnungen auf Europa setzen können. Wir wollen, dass sie gute Jobs finden, sich frei und mobil in Europa bewegen können, dass sie im Austausch mit anderen Freundschaften schließen und europäisches Zusammenleben praktisch erfahren können. Deshalb wollen wir die Austauschprogramme wie Erasmus+ ausbauen und die Jugendarbeitslosigkeit mit mehr Mitteln der EU bekämpfen.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Soziale Grundrechte, insbesondere das Prinzip des gleichen Lohns für gleiche Arbeit am gleichen Ort in der EU, wollen wir in einem Sozialpakt stärken. Wir wollen faire Rahmenbedingungen für Arbeitnehmerinnen und Arbeitnehmer und eine bessere Koordinierung der Arbeitsmarktpolitik. Die Revision der Entsenderichtlinie gilt es zügig und möglichst mit weiteren Verbesserungen zum Abschluss zu bringen.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Wir wollen einen Rahmen für Mindestlohnregelungen sowie für nationale Grundsicherungssysteme in den EU-Staaten entwickeln. Wer konsequent gegen Lohndumping und soziale Ungleichheiten in wirtschaftlich schwächeren Ländern in Europa kämpft, sichert auch den Sozialstaat und die Soziale Marktwirtschaft in Deutschland.</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Wir wollen faire Mobilität fördern, jedoch missbräuchliche Zuwanderung in die Systeme der sozialen Sicherheit unterbinden.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Wir wollen mehr Vergleichbarkeit von Bildungsstandards in der EU.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Wir bekämpfen Steuerdumping, -betrug, -vermeidung und Geldwäsche gleichermaßen international und in der EU.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Wir unterstützen eine gerechte Besteuerung großer Konzerne, gerade auch der Internetkonzerne wie Google, Apple, Facebook und Amazon.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lastRenderedPageBreak/>
        <w:t xml:space="preserve">Unternehmen dürfen sich künftig nicht mehr ihrer gesellschaftlichen Verantwortung entziehen können, indem sie die Staaten der EU gegeneinander ausspielen. Steuerdumping muss unterbunden werden.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Wir unterstützen eine gemeinsame, konsolidierte Bemessungsgrundlage und Mindestsätze bei den Unternehmenssteuern. Wir wollen mit Frankreich zusammen hierfür eine Initiative ergreifen, auch um eine europäische Antwort auf internationale Veränderungen und Herausforderungen in diesem Bereich, nicht zuletzt in den USA, zu geben.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Die Einführung einer substanziellen Finanztransaktionsteuer wollen wir zum Abschluss bringen.</w:t>
      </w:r>
    </w:p>
    <w:p w:rsidR="007F452D" w:rsidRDefault="007F452D">
      <w:pPr>
        <w:pStyle w:val="Listenabsatz"/>
        <w:spacing w:after="0" w:line="240" w:lineRule="auto"/>
        <w:contextualSpacing w:val="0"/>
        <w:jc w:val="both"/>
        <w:rPr>
          <w:rFonts w:ascii="Arial" w:hAnsi="Arial" w:cs="Arial"/>
          <w:sz w:val="24"/>
          <w:szCs w:val="24"/>
        </w:rPr>
      </w:pPr>
    </w:p>
    <w:p w:rsidR="007F452D" w:rsidRDefault="006007DF">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 xml:space="preserve">Wir wollen ein Europa des Friedens und der globalen Verantwortung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Globale Herausforderungen brauchen europäische Antworten. Wir sind uns einig in der klaren Absage an Protektionismus, Isolationismus und Nationalismus. Wir brauchen international mehr und nicht weniger Kooperation.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Lokale Herausforderungen können nur lokal wirklich gelöst werden. Deshalb brauchen wir gelebte Subsidiarität, auch um die Handlungsspielräume von Kommunen und Ländern zu stärken.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Die gemeinsame europäische Außen- und Sicherheitspolitik muss im Sinne einer Friedensmacht Europa gestärkt werden. Sie muss dem Prinzip eines Vorrangs des Politischen vor dem Militärischen folgen und auf Friedenssicherung, Entspannung und zivile Krisenprävention ausgerichtet sein. Wir wollen die Zusammenarbeit bei der Sicherheits- und Verteidigungspolitik (PESCO) stärken und mit Leben füllen.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Die EU-Erweiterungspolitik bleibt wichtig, um Frieden, Stabilität und Zusammenarbeit zu fördern. Zugleich muss die EU durch innere Reformen ihre Handlungsfähigkeit sicherstellen. Alle Länder des westlichen Balkans haben eine Beitrittsperspektive. Wir unterstützen ihre Annäherung an die EU und schenken der Entwicklung von Demokratie und Rechtsstaatlichkeit besondere Aufmerksamkeit. Voraussetzung für Fortschritte bei der Annäherung ist, dass die Staaten der Region die dafür vorgesehenen Kriterien vollständig erfüllen.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In der Flüchtlings- und Migrationspolitik muss die EU ihrer humanitären Verantwortung gerecht werden und zugleich Migration besser ordnen und steuern. Wir wollen Fluchtursachen umfassend bekämpfen, die Außengrenzen der EU gemeinsam wirksamer schützen sowie eine solidarische Verantwortungsteilung in der EU schaffen.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Wir wollen mit einer kohärenten Afrika-Strategie die Zusammenarbeit mit Afrika auf allen Ebenen ausbauen. Wir unterstützen einen Marshallplan mit Afrika, um die Afrikanische Union bei der Umsetzung der Agenda 2063 zu unterstützen.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Wir wollen eine offene und faire Handelspolitik, die allen zu</w:t>
      </w:r>
      <w:r w:rsidR="00D10046">
        <w:rPr>
          <w:rFonts w:ascii="Arial" w:hAnsi="Arial" w:cs="Arial"/>
          <w:sz w:val="24"/>
          <w:szCs w:val="24"/>
        </w:rPr>
        <w:t>g</w:t>
      </w:r>
      <w:r>
        <w:rPr>
          <w:rFonts w:ascii="Arial" w:hAnsi="Arial" w:cs="Arial"/>
          <w:sz w:val="24"/>
          <w:szCs w:val="24"/>
        </w:rPr>
        <w:t>utekommt und auf Wachstum, Nachhaltigkeit und Gerechtigkeit zielt.</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Die EU muss beim Klimaschutz international eine Vorreiterrolle einnehmen und für eine ambitionierte Umsetzung des Pariser Klimaschutzabkommens eintreten.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Die EU braucht auch eine gemeinsame Außen- und Menschenrechtspolitik.</w:t>
      </w:r>
    </w:p>
    <w:p w:rsidR="007F452D" w:rsidRDefault="007F452D">
      <w:pPr>
        <w:pStyle w:val="Listenabsatz"/>
        <w:spacing w:after="0" w:line="240" w:lineRule="auto"/>
        <w:ind w:left="0"/>
        <w:contextualSpacing w:val="0"/>
        <w:jc w:val="both"/>
        <w:rPr>
          <w:rFonts w:ascii="Arial" w:hAnsi="Arial" w:cs="Arial"/>
          <w:sz w:val="24"/>
          <w:szCs w:val="24"/>
        </w:rPr>
      </w:pPr>
    </w:p>
    <w:p w:rsidR="007F452D" w:rsidRDefault="006007DF">
      <w:pPr>
        <w:pStyle w:val="Listenabsatz"/>
        <w:spacing w:after="0" w:line="240" w:lineRule="auto"/>
        <w:ind w:left="0"/>
        <w:contextualSpacing w:val="0"/>
        <w:jc w:val="both"/>
        <w:rPr>
          <w:rFonts w:ascii="Arial" w:hAnsi="Arial" w:cs="Arial"/>
          <w:sz w:val="24"/>
          <w:szCs w:val="24"/>
        </w:rPr>
      </w:pPr>
      <w:r>
        <w:rPr>
          <w:rFonts w:ascii="Arial" w:hAnsi="Arial" w:cs="Arial"/>
          <w:sz w:val="24"/>
          <w:szCs w:val="24"/>
        </w:rPr>
        <w:t>Um diese Ziele zu erreichen, wollen wir die EU in ihrer Handlungsfähigkeit stärken, insbesondere auch das Europäische Parlament. Wir wollen die EU finanziell stärken, damit sie ihre Aufgaben besser wahrnehmen kann. Dafür werden wir bei der Erstellung des nächsten mehrjährigen Finanzrahmens Sorge tragen. Dabei befürworten wir auch spezifische Haushaltsmittel für wirtschaftliche Stabilisierung und soziale Konvergenz und für die Unterstützung von Strukturreformen in der Eurozone, die Aus</w:t>
      </w:r>
      <w:r>
        <w:rPr>
          <w:rFonts w:ascii="Arial" w:hAnsi="Arial" w:cs="Arial"/>
          <w:sz w:val="24"/>
          <w:szCs w:val="24"/>
        </w:rPr>
        <w:lastRenderedPageBreak/>
        <w:t xml:space="preserve">gangspunkt für einen künftigen Investivhaushalt für die Eurozone sein können. Wir sind zu höheren Beiträgen Deutschlands zum EU-Haushalt bereit. Wir wollen einen Haushalt, der klar auf die Aufgaben der Zukunft mit europäischem Mehrwert ausgerichtet ist. </w:t>
      </w:r>
    </w:p>
    <w:p w:rsidR="007F452D" w:rsidRDefault="007F452D">
      <w:pPr>
        <w:pStyle w:val="Listenabsatz"/>
        <w:spacing w:after="0" w:line="240" w:lineRule="auto"/>
        <w:ind w:left="0"/>
        <w:contextualSpacing w:val="0"/>
        <w:jc w:val="both"/>
        <w:rPr>
          <w:rFonts w:ascii="Arial" w:hAnsi="Arial" w:cs="Arial"/>
          <w:sz w:val="24"/>
          <w:szCs w:val="24"/>
        </w:rPr>
      </w:pPr>
    </w:p>
    <w:p w:rsidR="007F452D" w:rsidRDefault="006007DF">
      <w:pPr>
        <w:pStyle w:val="Listenabsatz"/>
        <w:spacing w:after="0" w:line="240" w:lineRule="auto"/>
        <w:ind w:left="0"/>
        <w:contextualSpacing w:val="0"/>
        <w:jc w:val="both"/>
        <w:rPr>
          <w:rFonts w:ascii="Arial" w:hAnsi="Arial" w:cs="Arial"/>
          <w:sz w:val="24"/>
          <w:szCs w:val="24"/>
        </w:rPr>
      </w:pPr>
      <w:r>
        <w:rPr>
          <w:rFonts w:ascii="Arial" w:hAnsi="Arial" w:cs="Arial"/>
          <w:sz w:val="24"/>
          <w:szCs w:val="24"/>
        </w:rPr>
        <w:t>Wir wollen in diesem Sinne und insbesondere auch in enger Partnerschaft mit Frankreich die Eurozone nachhaltig stärken und reformieren, so dass der Euro globalen Krisen besser standhalten kann. Dabei bleibt der Stabilitäts- und Wachstumspakt auch in Zukunft unser Kompass. Stabilität und Wachstum bedingen einander und bilden eine Einheit. Zugleich muss auch künftig das Prinzip gelten, dass Risiko und Haftungsverantwortung verbunden sind. Wir wollen fiskalische Kontrolle, wirtschaftliche Koordinierung in der EU und der Eurozone sowie den Kampf gegen Steuerbetrug und aggressive Steuervermeidung vorantreiben. Die dazu aus den Mitgliedstaaten und von der EU-Kommission vorgelegten Vorschläge werden wir prüfen. Den Europäischen Stabilitätsmechanismus (ESM) wollen wir zu einem parlamentarisch kontrollierten Europäischen Währungsfonds weiterentwickeln, der im Unionsrecht verankert sein sollte. Die Rechte der nationalen Parlamente bleiben davon unberührt.</w:t>
      </w:r>
    </w:p>
    <w:p w:rsidR="007F452D" w:rsidRDefault="007F452D">
      <w:pPr>
        <w:pStyle w:val="Listenabsatz"/>
        <w:spacing w:after="0" w:line="240" w:lineRule="auto"/>
        <w:ind w:left="0"/>
        <w:contextualSpacing w:val="0"/>
        <w:jc w:val="both"/>
        <w:rPr>
          <w:rFonts w:ascii="Arial" w:hAnsi="Arial" w:cs="Arial"/>
          <w:b/>
          <w:sz w:val="24"/>
          <w:szCs w:val="24"/>
          <w:u w:val="single"/>
        </w:rPr>
      </w:pPr>
    </w:p>
    <w:p w:rsidR="007F452D" w:rsidRDefault="006007DF">
      <w:pPr>
        <w:pStyle w:val="Listenabsatz"/>
        <w:spacing w:after="0" w:line="240" w:lineRule="auto"/>
        <w:ind w:left="0"/>
        <w:contextualSpacing w:val="0"/>
        <w:jc w:val="both"/>
        <w:rPr>
          <w:rFonts w:ascii="Arial" w:hAnsi="Arial" w:cs="Arial"/>
          <w:sz w:val="24"/>
          <w:szCs w:val="24"/>
        </w:rPr>
      </w:pPr>
      <w:r>
        <w:rPr>
          <w:rFonts w:ascii="Arial" w:hAnsi="Arial" w:cs="Arial"/>
          <w:sz w:val="24"/>
          <w:szCs w:val="24"/>
        </w:rPr>
        <w:t xml:space="preserve">Insgesamt lassen wir uns davon leiten, dass die EU für Solidarität zwischen den Mitgliedstaaten ebenso wie für ihre Bürgerinnen und Bürger stehen muss. Das Prinzip der wechselseitigen Solidarität muss auch für den EU-Haushalt gelten. </w:t>
      </w:r>
    </w:p>
    <w:p w:rsidR="007F452D" w:rsidRDefault="006007DF">
      <w:pPr>
        <w:pStyle w:val="Listenabsatz"/>
        <w:spacing w:after="0" w:line="240" w:lineRule="auto"/>
        <w:ind w:left="0"/>
        <w:contextualSpacing w:val="0"/>
        <w:jc w:val="both"/>
        <w:rPr>
          <w:rFonts w:ascii="Arial" w:hAnsi="Arial" w:cs="Arial"/>
          <w:sz w:val="24"/>
          <w:szCs w:val="24"/>
        </w:rPr>
      </w:pPr>
      <w:r>
        <w:rPr>
          <w:rFonts w:ascii="Arial" w:hAnsi="Arial" w:cs="Arial"/>
          <w:sz w:val="24"/>
          <w:szCs w:val="24"/>
        </w:rPr>
        <w:t xml:space="preserve"> </w:t>
      </w:r>
    </w:p>
    <w:p w:rsidR="007F452D" w:rsidRDefault="006007DF">
      <w:pPr>
        <w:pStyle w:val="Listenabsatz"/>
        <w:spacing w:after="0" w:line="240" w:lineRule="auto"/>
        <w:ind w:left="0"/>
        <w:contextualSpacing w:val="0"/>
        <w:jc w:val="both"/>
        <w:rPr>
          <w:rFonts w:ascii="Arial" w:hAnsi="Arial" w:cs="Arial"/>
          <w:sz w:val="24"/>
          <w:szCs w:val="24"/>
        </w:rPr>
      </w:pPr>
      <w:r>
        <w:rPr>
          <w:rFonts w:ascii="Arial" w:hAnsi="Arial" w:cs="Arial"/>
          <w:sz w:val="24"/>
          <w:szCs w:val="24"/>
        </w:rPr>
        <w:t xml:space="preserve">Die Erneuerung der EU wird nur gelingen, wenn Deutschland und Frankreich mit ganzer Kraft gemeinsam dafür arbeiten. Deshalb wollen wir die deutsch-französische Zusammenarbeit weiter stärken und erneuern. Ein neuer Élysée-Vertrag ist hierzu ein erster und wichtiger Schritt, der insbesondere auch die europapolitische Zusammenarbeit weiter stärken sollte. Deutschland und Frankreich müssen insbesondere auch Innovationsmotor sein und werden dies in Vorhaben wie der Erforschung von künstlicher Intelligenz unter Beweis stellen. Wir wollen gemeinsame Positionen möglichst zu allen wichtigen Fragen der europäischen und internationalen Politik entwickeln und in Bereichen, in denen die EU mit 27 Mitgliedstaaten nicht handlungsfähig ist, vorangehen. </w:t>
      </w:r>
    </w:p>
    <w:p w:rsidR="007F452D" w:rsidRDefault="007F452D">
      <w:pPr>
        <w:pStyle w:val="Listenabsatz"/>
        <w:spacing w:after="0" w:line="240" w:lineRule="auto"/>
        <w:ind w:left="0"/>
        <w:contextualSpacing w:val="0"/>
        <w:jc w:val="both"/>
        <w:rPr>
          <w:rFonts w:ascii="Arial" w:hAnsi="Arial" w:cs="Arial"/>
          <w:sz w:val="24"/>
          <w:szCs w:val="24"/>
        </w:rPr>
      </w:pPr>
    </w:p>
    <w:p w:rsidR="007F452D" w:rsidRDefault="006007DF">
      <w:pPr>
        <w:pStyle w:val="Listenabsatz"/>
        <w:spacing w:after="0" w:line="240" w:lineRule="auto"/>
        <w:ind w:left="0"/>
        <w:contextualSpacing w:val="0"/>
        <w:jc w:val="both"/>
        <w:rPr>
          <w:rFonts w:ascii="Arial" w:hAnsi="Arial" w:cs="Arial"/>
          <w:sz w:val="24"/>
          <w:szCs w:val="24"/>
        </w:rPr>
      </w:pPr>
      <w:r>
        <w:rPr>
          <w:rFonts w:ascii="Arial" w:hAnsi="Arial" w:cs="Arial"/>
          <w:sz w:val="24"/>
          <w:szCs w:val="24"/>
        </w:rPr>
        <w:t>Von besonderer Bedeutung ist für uns ebenfalls die deutsch-polnische Partnerschaft. Ihr Fundament bilden die Versöhnung zwischen Deutschen und Polen und die gemeinsame Verantwortung für Europa. Dabei werden wir nicht vergessen, dass Polen und Ungarn den Grundstein für Europas und Deutschlands Wiedervereinigung in Freiheit gelegt haben. Auf dieser Basis wollen wir die Zusammenarbeit mit unserem Nachbarland Polen ausbauen. Dem zwischengesellschaftlichen Dialog kommt gerade jetzt eine herausragende Bedeutung zu. Deshalb werden wir Akteure, wie z. B. das Deutsch-Polnische Jugendwerk, die Deutsch-Polnische Gesellschaft Bundesverband, das Deutsche Polen-Institut sowie die Jugendbegegnungsstätten in Kreisau und Auschwitz auch weiterhin in ihrer Arbeit stärken. Wir werden die Zusammenarbeit mit Frankreich und Polen im Weimarer Dreieck intensivieren.</w:t>
      </w:r>
    </w:p>
    <w:p w:rsidR="007F452D" w:rsidRDefault="007F452D">
      <w:pPr>
        <w:pStyle w:val="Listenabsatz"/>
        <w:spacing w:after="0" w:line="240" w:lineRule="auto"/>
        <w:ind w:left="0"/>
        <w:contextualSpacing w:val="0"/>
        <w:jc w:val="both"/>
        <w:rPr>
          <w:rFonts w:ascii="Arial" w:hAnsi="Arial" w:cs="Arial"/>
          <w:b/>
          <w:sz w:val="24"/>
          <w:szCs w:val="24"/>
          <w:u w:val="single"/>
        </w:rPr>
      </w:pPr>
    </w:p>
    <w:p w:rsidR="007F452D" w:rsidRDefault="006007DF">
      <w:pPr>
        <w:pStyle w:val="Listenabsatz"/>
        <w:spacing w:after="0" w:line="240" w:lineRule="auto"/>
        <w:ind w:left="0"/>
        <w:contextualSpacing w:val="0"/>
        <w:jc w:val="both"/>
        <w:rPr>
          <w:rFonts w:ascii="Arial" w:hAnsi="Arial" w:cs="Arial"/>
          <w:sz w:val="24"/>
          <w:szCs w:val="24"/>
        </w:rPr>
      </w:pPr>
      <w:r>
        <w:rPr>
          <w:rFonts w:ascii="Arial" w:hAnsi="Arial" w:cs="Arial"/>
          <w:sz w:val="24"/>
          <w:szCs w:val="24"/>
        </w:rPr>
        <w:t xml:space="preserve">Wir bedauern den Austritt des Vereinigten Königreiches aus der Europäischen Union. Auch nach seinem Ausscheiden wünschen wir uns eine vertrauensvolle Zusammenarbeit zwischen der Bundesrepublik Deutschland, dem Vereinigten Königreich und der EU-27. </w:t>
      </w:r>
    </w:p>
    <w:p w:rsidR="007F452D" w:rsidRDefault="007F452D">
      <w:pPr>
        <w:pStyle w:val="Listenabsatz"/>
        <w:spacing w:after="0" w:line="240" w:lineRule="auto"/>
        <w:ind w:left="0"/>
        <w:contextualSpacing w:val="0"/>
        <w:jc w:val="both"/>
        <w:rPr>
          <w:rFonts w:ascii="Arial" w:hAnsi="Arial" w:cs="Arial"/>
          <w:sz w:val="24"/>
          <w:szCs w:val="24"/>
        </w:rPr>
      </w:pPr>
    </w:p>
    <w:p w:rsidR="007F452D" w:rsidRDefault="006007DF">
      <w:pPr>
        <w:spacing w:after="0" w:line="240" w:lineRule="auto"/>
        <w:jc w:val="both"/>
        <w:rPr>
          <w:rFonts w:ascii="Arial" w:hAnsi="Arial" w:cs="Arial"/>
          <w:b/>
          <w:bCs/>
          <w:sz w:val="24"/>
          <w:szCs w:val="24"/>
        </w:rPr>
      </w:pPr>
      <w:r>
        <w:rPr>
          <w:rFonts w:ascii="Arial" w:hAnsi="Arial" w:cs="Arial"/>
          <w:sz w:val="24"/>
          <w:szCs w:val="24"/>
        </w:rPr>
        <w:lastRenderedPageBreak/>
        <w:t>Wir treten gemeinsam dafür ein, dass Deutschland seiner europäischen Verantwortung in einem Geist partnerschaftlicher Zusammenarbeit und gegenseitiger Solidarität gerecht wird.</w:t>
      </w:r>
      <w:r>
        <w:rPr>
          <w:rFonts w:ascii="Arial" w:hAnsi="Arial" w:cs="Arial"/>
          <w:b/>
          <w:bCs/>
          <w:sz w:val="24"/>
          <w:szCs w:val="24"/>
        </w:rPr>
        <w:br w:type="page"/>
      </w:r>
    </w:p>
    <w:p w:rsidR="007F452D" w:rsidRDefault="006007DF">
      <w:pPr>
        <w:pStyle w:val="berschrift1"/>
        <w:numPr>
          <w:ilvl w:val="0"/>
          <w:numId w:val="8"/>
        </w:numPr>
        <w:ind w:left="426" w:hanging="142"/>
        <w:contextualSpacing/>
      </w:pPr>
      <w:bookmarkStart w:id="2" w:name="_Toc505767140"/>
      <w:r>
        <w:lastRenderedPageBreak/>
        <w:t>Eine neue Dynamik für Deutschland</w:t>
      </w:r>
      <w:bookmarkEnd w:id="2"/>
    </w:p>
    <w:p w:rsidR="007F452D" w:rsidRDefault="007F452D">
      <w:pPr>
        <w:spacing w:after="0" w:line="240" w:lineRule="auto"/>
        <w:contextualSpacing/>
        <w:rPr>
          <w:rFonts w:ascii="Arial" w:hAnsi="Arial" w:cs="Arial"/>
          <w:bCs/>
          <w:sz w:val="24"/>
          <w:szCs w:val="24"/>
        </w:rPr>
      </w:pPr>
    </w:p>
    <w:p w:rsidR="007F452D" w:rsidRDefault="006007DF">
      <w:pPr>
        <w:autoSpaceDE w:val="0"/>
        <w:autoSpaceDN w:val="0"/>
        <w:adjustRightInd w:val="0"/>
        <w:spacing w:after="0" w:line="240" w:lineRule="auto"/>
        <w:ind w:left="3"/>
        <w:contextualSpacing/>
        <w:jc w:val="both"/>
        <w:rPr>
          <w:rFonts w:ascii="Arial" w:hAnsi="Arial" w:cs="Arial"/>
          <w:b/>
          <w:bCs/>
          <w:sz w:val="24"/>
          <w:szCs w:val="24"/>
        </w:rPr>
      </w:pPr>
      <w:r>
        <w:rPr>
          <w:rFonts w:ascii="Arial" w:hAnsi="Arial" w:cs="Arial"/>
          <w:b/>
          <w:bCs/>
          <w:sz w:val="24"/>
          <w:szCs w:val="24"/>
        </w:rPr>
        <w:t>Eine neue Dynamik für Deutschland</w:t>
      </w:r>
    </w:p>
    <w:p w:rsidR="007F452D" w:rsidRDefault="006007DF">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 xml:space="preserve">Wir wollen, dass Deutschland ein wirtschaftlich starkes und sozial gerechtes Land ist </w:t>
      </w:r>
      <w:r>
        <w:rPr>
          <w:rFonts w:ascii="Arial" w:hAnsi="Arial" w:cs="Arial"/>
          <w:bCs/>
          <w:sz w:val="24"/>
          <w:szCs w:val="24"/>
        </w:rPr>
        <w:br/>
        <w:t>– und dass alle daran teilhaben. Wir wollen den Zusammenhalt in unserem Land stärken und dafür sorgen, dass die Bürgerinnen und Bürger sicher und gut leben können.</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 xml:space="preserve">Wir wollen unser Land modernisieren, Innovationskräfte freisetzen und das Wohlstands- und Sicherheitsversprechen unserer Sozialen Marktwirtschaft im digitalen Zeitalter erneuern. </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Deutschland – das sind mehr als 80 Millionen Menschen: Ihnen wollen wir eine gute Zukunft bieten. Ihren Alltag wollen wir spürbar verbessern, ihre Sorgen ernst nehmen und ihnen neue Chancen eröffnen. Deshalb leitet uns bei jeder politischen Maßnahme die Frage: Was erreichen wir ganz konkret für die Bürgerinnen und Bürger unseres Landes?</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 xml:space="preserve">Wir haben uns daher mutige und überprüfbare Ziele für die nächsten vier Jahre gesetzt. Deutschland soll 2021 noch gerechter, wirtschaftlich stärker, sicherer und lebenswerter in allen Regionen sein. Wir wollen einen neuen Aufbruch für Europa und eine neue Dynamik für Deutschland – in allen Bereichen, unter anderem mit folgenden Maßnahmen, die in den Fachkapiteln verbindlich beschrieben sind. </w:t>
      </w:r>
    </w:p>
    <w:p w:rsidR="007F452D" w:rsidRDefault="007F452D">
      <w:pPr>
        <w:autoSpaceDE w:val="0"/>
        <w:autoSpaceDN w:val="0"/>
        <w:adjustRightInd w:val="0"/>
        <w:spacing w:after="0" w:line="240" w:lineRule="auto"/>
        <w:contextualSpacing/>
        <w:jc w:val="both"/>
        <w:rPr>
          <w:rFonts w:ascii="Arial" w:hAnsi="Arial" w:cs="Arial"/>
          <w:b/>
          <w:bCs/>
          <w:sz w:val="24"/>
          <w:szCs w:val="24"/>
        </w:rPr>
      </w:pPr>
    </w:p>
    <w:p w:rsidR="007F452D" w:rsidRDefault="006007DF">
      <w:pPr>
        <w:autoSpaceDE w:val="0"/>
        <w:autoSpaceDN w:val="0"/>
        <w:adjustRightInd w:val="0"/>
        <w:spacing w:after="0" w:line="240" w:lineRule="auto"/>
        <w:ind w:left="3"/>
        <w:contextualSpacing/>
        <w:jc w:val="both"/>
        <w:rPr>
          <w:rFonts w:ascii="Arial" w:hAnsi="Arial" w:cs="Arial"/>
          <w:b/>
          <w:bCs/>
          <w:sz w:val="24"/>
          <w:szCs w:val="24"/>
        </w:rPr>
      </w:pPr>
      <w:bookmarkStart w:id="3" w:name="_Hlk505521077"/>
      <w:r>
        <w:rPr>
          <w:rFonts w:ascii="Arial" w:hAnsi="Arial" w:cs="Arial"/>
          <w:b/>
          <w:bCs/>
          <w:sz w:val="24"/>
          <w:szCs w:val="24"/>
        </w:rPr>
        <w:t>Familien und Kinder im Mittelpunkt (Kapitel III)</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unterstützen Familien:</w:t>
      </w:r>
      <w:r>
        <w:rPr>
          <w:rFonts w:ascii="Arial" w:hAnsi="Arial" w:cs="Arial"/>
          <w:bCs/>
          <w:sz w:val="24"/>
          <w:szCs w:val="24"/>
        </w:rPr>
        <w:t xml:space="preserve"> Erhöhung Kindergeld um 25 Euro pro Monat und Kind und entsprechende Anpassung Kinderfreibetrag.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verbessern die Vereinbarkeit von Familie und Beruf: </w:t>
      </w:r>
      <w:r>
        <w:rPr>
          <w:rFonts w:ascii="Arial" w:hAnsi="Arial" w:cs="Arial"/>
          <w:bCs/>
          <w:sz w:val="24"/>
          <w:szCs w:val="24"/>
        </w:rPr>
        <w:t xml:space="preserve">Mehr Geld für Kitaausbau, </w:t>
      </w:r>
      <w:r>
        <w:rPr>
          <w:rFonts w:ascii="Arial" w:hAnsi="Arial" w:cs="Arial"/>
          <w:sz w:val="24"/>
          <w:szCs w:val="24"/>
        </w:rPr>
        <w:t>Entlastung von Eltern bei den Gebühren bis hin zur Gebührenfreiheit.</w:t>
      </w:r>
      <w:r>
        <w:rPr>
          <w:rFonts w:ascii="Arial" w:hAnsi="Arial" w:cs="Arial"/>
          <w:bCs/>
          <w:sz w:val="24"/>
          <w:szCs w:val="24"/>
        </w:rPr>
        <w:t xml:space="preserve"> Steigerung der Qualität in der Kinderbetreuung. Einführung Rechtsanspruch auf Ganztagsbetreuung im Grundschulalter bis 2025. Zuschüsse für haushaltsnahe Dienstleistungen. Förderung von Familienfreundlichkeit.</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bekämpfen Kinderarmut:</w:t>
      </w:r>
      <w:r>
        <w:rPr>
          <w:rFonts w:ascii="Arial" w:hAnsi="Arial" w:cs="Arial"/>
          <w:bCs/>
          <w:sz w:val="24"/>
          <w:szCs w:val="24"/>
        </w:rPr>
        <w:t xml:space="preserve"> Erhöhung und leichtere Beantragung Kinderzuschlag für einkommensschwache Familien und Alleinerziehende. Aufstockung Schulstarterpaket für Schulmaterial von Kindern aus einkommensschwachen Familien.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stärken die Rechte von Kindern: </w:t>
      </w:r>
      <w:r>
        <w:rPr>
          <w:rFonts w:ascii="Arial" w:hAnsi="Arial" w:cs="Arial"/>
          <w:bCs/>
          <w:sz w:val="24"/>
          <w:szCs w:val="24"/>
        </w:rPr>
        <w:t xml:space="preserve">Verankerung Kinderrechte im Grundgesetz. Stärkung Kinderkommission des Deutschen Bundestages.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sorgen für mehr Gleichstellung:</w:t>
      </w:r>
      <w:r>
        <w:rPr>
          <w:rFonts w:ascii="Arial" w:hAnsi="Arial" w:cs="Arial"/>
          <w:bCs/>
          <w:sz w:val="24"/>
          <w:szCs w:val="24"/>
        </w:rPr>
        <w:t xml:space="preserve"> Gleichberechtigte Teilhabe von Frauen und Männern in Leitungsfunktionen im öffentlichen Dienst bis 2025. Bessere Bezahlung in Pflege- und Sozialberufen.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bekämpfen Gewalt gegenüber Frauen und Kindern:</w:t>
      </w:r>
      <w:r>
        <w:rPr>
          <w:rFonts w:ascii="Arial" w:hAnsi="Arial" w:cs="Arial"/>
          <w:bCs/>
          <w:sz w:val="24"/>
          <w:szCs w:val="24"/>
        </w:rPr>
        <w:t xml:space="preserve"> </w:t>
      </w:r>
      <w:r>
        <w:rPr>
          <w:rFonts w:ascii="Arial" w:hAnsi="Arial" w:cs="Arial"/>
          <w:sz w:val="24"/>
          <w:szCs w:val="24"/>
        </w:rPr>
        <w:t>Aktionsprogramm zur Prävention und Unterstützung für von Gewalt betroffene Frauen und Kinder. Bedarfsgerechter Ausbau und adäquate finanzielle Absicherung der Arbeit von Frauenhäusern.</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ind w:left="3"/>
        <w:contextualSpacing/>
        <w:jc w:val="both"/>
        <w:rPr>
          <w:rFonts w:ascii="Arial" w:hAnsi="Arial" w:cs="Arial"/>
          <w:b/>
          <w:bCs/>
          <w:sz w:val="24"/>
          <w:szCs w:val="24"/>
        </w:rPr>
      </w:pPr>
      <w:r>
        <w:rPr>
          <w:rFonts w:ascii="Arial" w:hAnsi="Arial" w:cs="Arial"/>
          <w:b/>
          <w:bCs/>
          <w:sz w:val="24"/>
          <w:szCs w:val="24"/>
        </w:rPr>
        <w:t>Offensive für Bildung, Forschung und Digitalisierung (Kapitel IV)</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investieren auf Rekordniveau in bessere Bildung:</w:t>
      </w:r>
      <w:r>
        <w:rPr>
          <w:rFonts w:ascii="Arial" w:hAnsi="Arial" w:cs="Arial"/>
          <w:bCs/>
          <w:sz w:val="24"/>
          <w:szCs w:val="24"/>
        </w:rPr>
        <w:t xml:space="preserve"> 2 Milliarden Euro für Ausbau Ganztagsschul- und Betreuungsangebote. Digitalpakt Schule mit 5 Milliarden in fünf Jahren für starke Digital-Infrastruktur an allen Schulen, gemeinsame Cloud-Lösung für Schulen und Qualifizierung der Lehrkräfte. Anpas</w:t>
      </w:r>
      <w:r>
        <w:rPr>
          <w:rFonts w:ascii="Arial" w:hAnsi="Arial" w:cs="Arial"/>
          <w:bCs/>
          <w:sz w:val="24"/>
          <w:szCs w:val="24"/>
        </w:rPr>
        <w:lastRenderedPageBreak/>
        <w:t>sung der Rechtsgrundlage im Grundgesetz als Voraussetzung, um Länder bei Investitionen in die Bildungsinfrastruktur unterstützen zu können.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stärken die berufliche Bildung: </w:t>
      </w:r>
      <w:r>
        <w:rPr>
          <w:rFonts w:ascii="Arial" w:hAnsi="Arial" w:cs="Arial"/>
          <w:bCs/>
          <w:sz w:val="24"/>
          <w:szCs w:val="24"/>
        </w:rPr>
        <w:t>Modernisierung Berufsbildungspakt mit digitaler Ausstattungsoffensive für berufliche Schulen. Bessere Leistungen durch Aufstiegs-BAföG für Gleichwertigkeit von akademischer und beruflicher Bildung. Höhere Zuschüsse für Techniker, Meister und Fachwirte. Einführung einer Mindestausbildungsvergütung. Ausbildungsberufe werden modernisiert.</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stärken Hochschulen und Studium:</w:t>
      </w:r>
      <w:r>
        <w:rPr>
          <w:rFonts w:ascii="Arial" w:hAnsi="Arial" w:cs="Arial"/>
          <w:bCs/>
          <w:sz w:val="24"/>
          <w:szCs w:val="24"/>
        </w:rPr>
        <w:t xml:space="preserve"> Mehr Investitionen in Studienplätze und Qualität in Forschung und Lehre, u. a. durch Verstetigung Hochschulpakt. Deutliche Verbesserung und Ausbau BAföG.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investieren in Forschung und Entwicklung:</w:t>
      </w:r>
      <w:r>
        <w:rPr>
          <w:rFonts w:ascii="Arial" w:hAnsi="Arial" w:cs="Arial"/>
          <w:bCs/>
          <w:sz w:val="24"/>
          <w:szCs w:val="24"/>
        </w:rPr>
        <w:t xml:space="preserve"> Ziel von 3,5 Prozent des Bruttoinlandsprodukts für Forschung und Entwicklung bis 2025. Pakt für Forschung und Innovation mit mehr Mitteln für Forschungsorganisationen. Weiterentwicklung High-Tech-Strategie, u. a. mit Schwerpunkt auf Digitalisierung und künstliche Intelligenz.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bringen die Gigabit-Netze in alle Regionen:</w:t>
      </w:r>
      <w:r>
        <w:rPr>
          <w:rFonts w:ascii="Arial" w:hAnsi="Arial" w:cs="Arial"/>
          <w:bCs/>
          <w:sz w:val="24"/>
          <w:szCs w:val="24"/>
        </w:rPr>
        <w:t xml:space="preserve"> 10 bis 12 Milliarden Euro für flächendeckende Glasfaser-Netze, möglichst direkt bis zum Haus. Beseitigung bestehender Funklöcher. Vorreiterrolle beim Aufbau des Echtzeit-Mobilfunkstandards 5G. Freies WLAN an allen öffentlichen Einrichtungen, Zügen und Bahnhöfen der Deutschen Bahn.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schaffen eine bürgernahe, digitale Verwaltung: </w:t>
      </w:r>
      <w:r>
        <w:rPr>
          <w:rFonts w:ascii="Arial" w:hAnsi="Arial" w:cs="Arial"/>
          <w:bCs/>
          <w:sz w:val="24"/>
          <w:szCs w:val="24"/>
        </w:rPr>
        <w:t xml:space="preserve">Digitales Bürgerportal für Bürger und Unternehmen, das praktisch alle Verwaltungsdienstleistungen elek-tronisch verfügbar macht. Prinzip „Digital First“: Vorrang digitaler Verwaltungsleistungen vor Notwendigkeit zu persönlichem Erscheinen oder Schriftform.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unterstützen Arbeitnehmerinnen und Arbeitnehmer im digitalen Wandel: </w:t>
      </w:r>
      <w:r>
        <w:rPr>
          <w:rFonts w:ascii="Arial" w:hAnsi="Arial" w:cs="Arial"/>
          <w:bCs/>
          <w:sz w:val="24"/>
          <w:szCs w:val="24"/>
        </w:rPr>
        <w:t>Entwicklung Nationaler Weiterbildungsstrategie mit Sozialpartnern, die Antworten auf digitalen Wandel der Arbeitswelt gibt. Rechtlicher Rahmen für mobiles Arbeiten. Sicherstellung des Beschäftigtendatenschutzes.</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fördern digitale Innovationen: </w:t>
      </w:r>
      <w:r>
        <w:rPr>
          <w:rFonts w:ascii="Arial" w:hAnsi="Arial" w:cs="Arial"/>
          <w:bCs/>
          <w:sz w:val="24"/>
          <w:szCs w:val="24"/>
        </w:rPr>
        <w:t xml:space="preserve">Unterstützung junger, innovativer Unternehmen in der Wachstumsphase. Fonds für Games-Förderung. </w:t>
      </w:r>
      <w:r>
        <w:rPr>
          <w:rFonts w:ascii="Arial" w:hAnsi="Arial" w:cs="Arial"/>
          <w:sz w:val="24"/>
          <w:szCs w:val="24"/>
        </w:rPr>
        <w:t>Bereitstellung von mehr Open Data.</w:t>
      </w:r>
    </w:p>
    <w:p w:rsidR="007F452D" w:rsidRDefault="007F452D">
      <w:pPr>
        <w:autoSpaceDE w:val="0"/>
        <w:autoSpaceDN w:val="0"/>
        <w:adjustRightInd w:val="0"/>
        <w:spacing w:after="0" w:line="240" w:lineRule="auto"/>
        <w:contextualSpacing/>
        <w:jc w:val="both"/>
        <w:rPr>
          <w:rFonts w:ascii="Arial" w:hAnsi="Arial" w:cs="Arial"/>
          <w:bCs/>
          <w:i/>
          <w:sz w:val="24"/>
          <w:szCs w:val="24"/>
        </w:rPr>
      </w:pPr>
    </w:p>
    <w:p w:rsidR="007F452D" w:rsidRDefault="006007DF">
      <w:pPr>
        <w:autoSpaceDE w:val="0"/>
        <w:autoSpaceDN w:val="0"/>
        <w:adjustRightInd w:val="0"/>
        <w:spacing w:after="0" w:line="240" w:lineRule="auto"/>
        <w:ind w:left="3"/>
        <w:contextualSpacing/>
        <w:jc w:val="both"/>
        <w:rPr>
          <w:rFonts w:ascii="Arial" w:hAnsi="Arial" w:cs="Arial"/>
          <w:b/>
          <w:sz w:val="24"/>
          <w:szCs w:val="24"/>
        </w:rPr>
      </w:pPr>
      <w:r>
        <w:rPr>
          <w:rFonts w:ascii="Arial" w:hAnsi="Arial" w:cs="Arial"/>
          <w:b/>
          <w:bCs/>
          <w:sz w:val="24"/>
          <w:szCs w:val="24"/>
        </w:rPr>
        <w:t>Gute Arbeit, breite Entlastung und soziale Teilhabe sichern (Kapitel V)</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wollen Vollbeschäftigung erreichen:</w:t>
      </w:r>
      <w:r>
        <w:rPr>
          <w:rFonts w:ascii="Arial" w:hAnsi="Arial" w:cs="Arial"/>
          <w:bCs/>
          <w:sz w:val="24"/>
          <w:szCs w:val="24"/>
        </w:rPr>
        <w:t xml:space="preserve"> Ziel der Vollbeschäftigung und Abbau von Langzeitarbeitslosigkeit. 4 Milliarden Euro zusätzlich für neue Chancen in einem sozialen Arbeitsmarkt für langzeitarbeitslose Bürgerinnen und Bürger.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ermöglichen </w:t>
      </w:r>
      <w:r w:rsidR="00DA3055">
        <w:rPr>
          <w:rFonts w:ascii="Arial" w:hAnsi="Arial" w:cs="Arial"/>
          <w:b/>
          <w:bCs/>
          <w:sz w:val="24"/>
          <w:szCs w:val="24"/>
        </w:rPr>
        <w:t xml:space="preserve">lebensbegleitendes </w:t>
      </w:r>
      <w:r>
        <w:rPr>
          <w:rFonts w:ascii="Arial" w:hAnsi="Arial" w:cs="Arial"/>
          <w:b/>
          <w:bCs/>
          <w:sz w:val="24"/>
          <w:szCs w:val="24"/>
        </w:rPr>
        <w:t>Lernen und fördern beruflichen Aufstieg:</w:t>
      </w:r>
      <w:r>
        <w:rPr>
          <w:rFonts w:ascii="Arial" w:hAnsi="Arial" w:cs="Arial"/>
          <w:bCs/>
          <w:sz w:val="24"/>
          <w:szCs w:val="24"/>
        </w:rPr>
        <w:t xml:space="preserve"> Stärkere Ausrichtung Allianz für Aus- und Weiterbildung auf digitale Fort- und Weiterbildung. Recht auf Weiterbildungsberatung bei der Bundesagentur für Arbeit. Initiativrecht für Betriebsräte für Weiterbildung wird gestärkt.</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haben einen wirklichen Durchbruch bei den Verhandlungen über die sachgrundlose Befristung und Kettenverträge erreicht:</w:t>
      </w:r>
      <w:r>
        <w:rPr>
          <w:rFonts w:ascii="Arial" w:hAnsi="Arial" w:cs="Arial"/>
          <w:bCs/>
          <w:sz w:val="24"/>
          <w:szCs w:val="24"/>
        </w:rPr>
        <w:t xml:space="preserve"> Möglichkeiten der befristeten Beschäftigung werden reduziert. Sachgrundlose Befristungen werden wieder zur Ausnahme, das unbefristete Arbeitsverhältnis soll wieder zur Regel werden in Deutschland. Endlose Kettenbefristungen werden abgeschafft.</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schaffen ein Recht auf befristete Teilzeit:</w:t>
      </w:r>
      <w:r>
        <w:rPr>
          <w:rFonts w:ascii="Arial" w:hAnsi="Arial" w:cs="Arial"/>
          <w:bCs/>
          <w:sz w:val="24"/>
          <w:szCs w:val="24"/>
        </w:rPr>
        <w:t xml:space="preserve"> Neuer Anspruch in Unternehmen mit mehr als 45 Mitarbeitern, nach Teilzeitphase wieder zur früheren Arbeitszeit zurückzukehren.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schaffen breite finanzielle Entlastungen insbesondere für kleinere und mittlere Einkommen:</w:t>
      </w:r>
      <w:r>
        <w:rPr>
          <w:rFonts w:ascii="Arial" w:hAnsi="Arial" w:cs="Arial"/>
          <w:bCs/>
          <w:sz w:val="24"/>
          <w:szCs w:val="24"/>
        </w:rPr>
        <w:t xml:space="preserve"> Abschaffung Solidaritätszuschlag in einem deutlichen ersten Schritt für rund 90 Prozent der Soli-Zahler durch Freigrenze. Keine Erhöhung </w:t>
      </w:r>
      <w:r>
        <w:rPr>
          <w:rFonts w:ascii="Arial" w:hAnsi="Arial" w:cs="Arial"/>
          <w:bCs/>
          <w:sz w:val="24"/>
          <w:szCs w:val="24"/>
        </w:rPr>
        <w:lastRenderedPageBreak/>
        <w:t xml:space="preserve">der </w:t>
      </w:r>
      <w:r>
        <w:rPr>
          <w:rFonts w:ascii="Arial" w:hAnsi="Arial" w:cs="Arial"/>
          <w:sz w:val="24"/>
          <w:szCs w:val="24"/>
        </w:rPr>
        <w:t>Steuerbelastung der Bürger</w:t>
      </w:r>
      <w:r>
        <w:rPr>
          <w:rFonts w:ascii="Arial" w:hAnsi="Arial" w:cs="Arial"/>
          <w:bCs/>
          <w:sz w:val="24"/>
          <w:szCs w:val="24"/>
        </w:rPr>
        <w:t>. Entlastung der Beschäftigten durch Wiederherstellung der Parität in der Krankenversicherung. Senkung des Beitrags zur Arbeitslosenversicherung um 0,3 Prozentpunkte. Entlastung Geringverdiener bei Sozialbeiträgen.</w:t>
      </w:r>
    </w:p>
    <w:bookmarkEnd w:id="3"/>
    <w:p w:rsidR="007F452D" w:rsidRDefault="007F452D">
      <w:pPr>
        <w:autoSpaceDE w:val="0"/>
        <w:autoSpaceDN w:val="0"/>
        <w:adjustRightInd w:val="0"/>
        <w:spacing w:after="0" w:line="240" w:lineRule="auto"/>
        <w:contextualSpacing/>
        <w:jc w:val="both"/>
        <w:rPr>
          <w:rFonts w:ascii="Arial" w:hAnsi="Arial" w:cs="Arial"/>
          <w:b/>
          <w:bCs/>
          <w:sz w:val="24"/>
          <w:szCs w:val="24"/>
        </w:rPr>
      </w:pPr>
    </w:p>
    <w:p w:rsidR="007F452D" w:rsidRDefault="006007DF">
      <w:pPr>
        <w:autoSpaceDE w:val="0"/>
        <w:autoSpaceDN w:val="0"/>
        <w:adjustRightInd w:val="0"/>
        <w:spacing w:after="0" w:line="240" w:lineRule="auto"/>
        <w:ind w:left="3"/>
        <w:contextualSpacing/>
        <w:jc w:val="both"/>
        <w:rPr>
          <w:rFonts w:ascii="Arial" w:hAnsi="Arial" w:cs="Arial"/>
          <w:b/>
          <w:bCs/>
          <w:sz w:val="24"/>
          <w:szCs w:val="24"/>
        </w:rPr>
      </w:pPr>
      <w:r>
        <w:rPr>
          <w:rFonts w:ascii="Arial" w:hAnsi="Arial" w:cs="Arial"/>
          <w:b/>
          <w:bCs/>
          <w:sz w:val="24"/>
          <w:szCs w:val="24"/>
        </w:rPr>
        <w:t>Erfolgreiche Wirtschaft für den Wohlstand von morgen (Kapitel VI)</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stärken den Mittelstand und den Wirtschaftsstandort Deutschland:</w:t>
      </w:r>
      <w:r>
        <w:rPr>
          <w:rFonts w:ascii="Arial" w:hAnsi="Arial" w:cs="Arial"/>
          <w:bCs/>
          <w:sz w:val="24"/>
          <w:szCs w:val="24"/>
        </w:rPr>
        <w:t xml:space="preserve"> Gigabit-Anschlüsse für alle Gewerbegebiete. Innovationsprogramm „Digitalisierung des Mittelstands“. Bürokratieabbau u. a. durch 1:1-Umsetzung von EU-Vorgaben, Vereinheitlichung von Schwellenwerten und „One-in-one-out“ auch auf europäischer Ebene.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bekennen uns zur Industrie</w:t>
      </w:r>
      <w:r>
        <w:rPr>
          <w:rFonts w:ascii="Arial" w:hAnsi="Arial" w:cs="Arial"/>
          <w:bCs/>
          <w:sz w:val="24"/>
          <w:szCs w:val="24"/>
        </w:rPr>
        <w:t>: Strategische Industrie- und Innovationspolitik. Ausbau der Industrie 4.0-Aktivitäten. Unterstützung von Schlüsseltechnologien, insbesondere Luft- und Raumfahrt, Maritime Wirtschaft, Mikroelektronik, Batteriezellfertigung, Leichtbau, neue Werkstoffe.</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fördern Innovationen:</w:t>
      </w:r>
      <w:r>
        <w:rPr>
          <w:rFonts w:ascii="Arial" w:hAnsi="Arial" w:cs="Arial"/>
          <w:bCs/>
          <w:sz w:val="24"/>
          <w:szCs w:val="24"/>
        </w:rPr>
        <w:t xml:space="preserve"> Steuerliche Forschungsförderung insbesondere für forschende kleine und mittelgroße Unternehmen. Allianz für schnelleren Transfer von Forschungsergebnissen in marktfähige Produkte.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setzen auf freien und fairen Handel:</w:t>
      </w:r>
      <w:r>
        <w:rPr>
          <w:rFonts w:ascii="Arial" w:hAnsi="Arial" w:cs="Arial"/>
          <w:bCs/>
          <w:sz w:val="24"/>
          <w:szCs w:val="24"/>
        </w:rPr>
        <w:t xml:space="preserve"> Moderne und faire Freihandelsabkommen mit Drittstaaten abschließen. Transatlantische Wirtschaftsbeziehungen vertiefen. Schnelle Vollendung des digitalen Binnenmarkts.</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stärken die duale Berufsausbildung:</w:t>
      </w:r>
      <w:r>
        <w:rPr>
          <w:rFonts w:ascii="Arial" w:hAnsi="Arial" w:cs="Arial"/>
          <w:bCs/>
          <w:sz w:val="24"/>
          <w:szCs w:val="24"/>
        </w:rPr>
        <w:t xml:space="preserve"> Abbau finanzieller Hürden beim Berufseinstieg („Aufstiegs-BAföG“). Erstattung von bei der Meisterprüfung angefallenen Gebühren ganz oder teilweise („Meisterbonus“).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fördern die Gründungskultur: </w:t>
      </w:r>
      <w:r>
        <w:rPr>
          <w:rFonts w:ascii="Arial" w:hAnsi="Arial" w:cs="Arial"/>
          <w:bCs/>
          <w:sz w:val="24"/>
          <w:szCs w:val="24"/>
        </w:rPr>
        <w:t xml:space="preserve">Steuerliche Anreize für Mobilisierung von Wagniskapital. Umsatzsteuerbefreiung in den ersten beiden Jahren nach Gründung. Entbürokratisierung durch „One-Stop-Shop“ für Antrags-, Genehmigungs- und Besteuerungsverfahren. </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contextualSpacing/>
        <w:jc w:val="both"/>
        <w:rPr>
          <w:rFonts w:ascii="Arial" w:hAnsi="Arial" w:cs="Arial"/>
          <w:bCs/>
          <w:sz w:val="24"/>
          <w:szCs w:val="24"/>
          <w:u w:val="single"/>
        </w:rPr>
      </w:pPr>
      <w:r>
        <w:rPr>
          <w:rFonts w:ascii="Arial" w:hAnsi="Arial" w:cs="Arial"/>
          <w:bCs/>
          <w:sz w:val="24"/>
          <w:szCs w:val="24"/>
          <w:u w:val="single"/>
        </w:rPr>
        <w:t>Finanzen und Steuern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setzen auf stabile Finanzen:</w:t>
      </w:r>
      <w:r>
        <w:rPr>
          <w:rFonts w:ascii="Arial" w:hAnsi="Arial" w:cs="Arial"/>
          <w:bCs/>
          <w:sz w:val="24"/>
          <w:szCs w:val="24"/>
        </w:rPr>
        <w:t xml:space="preserve"> Ziel weiterhin ausgeglichener Haushalt – keine neuen Schulden. Keine Erhöhung der </w:t>
      </w:r>
      <w:r>
        <w:rPr>
          <w:rFonts w:ascii="Arial" w:hAnsi="Arial" w:cs="Arial"/>
          <w:sz w:val="24"/>
          <w:szCs w:val="24"/>
        </w:rPr>
        <w:t>Steuerbelastung der Bürgerinnen und Bürger</w:t>
      </w:r>
      <w:r>
        <w:rPr>
          <w:rFonts w:ascii="Arial" w:hAnsi="Arial" w:cs="Arial"/>
          <w:bCs/>
          <w:sz w:val="24"/>
          <w:szCs w:val="24"/>
        </w:rPr>
        <w:t>.</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schaffen den Soli schrittweise ab:</w:t>
      </w:r>
      <w:r>
        <w:rPr>
          <w:rFonts w:ascii="Arial" w:hAnsi="Arial" w:cs="Arial"/>
          <w:bCs/>
          <w:sz w:val="24"/>
          <w:szCs w:val="24"/>
        </w:rPr>
        <w:t xml:space="preserve"> Abschaffung Solidaritätszuschlag in einem deutlichen ersten Schritt für rund 90 Prozent der Soli-Zahler durch Freigrenze.</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setzen uns für einen gemeinsamen Rahmen für Unternehmenssteuern in Europa ein: </w:t>
      </w:r>
      <w:r>
        <w:rPr>
          <w:rFonts w:ascii="Arial" w:hAnsi="Arial" w:cs="Arial"/>
          <w:bCs/>
          <w:sz w:val="24"/>
          <w:szCs w:val="24"/>
        </w:rPr>
        <w:t>Deutsch-französische Initiative für gemeinsame Bemessungsgrundlage und Mindeststeuersätze bei Körperschaftsteuer.</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Wir kämpfen gegen Steuerbetrug und Steuervermeidung:</w:t>
      </w:r>
      <w:r>
        <w:rPr>
          <w:rFonts w:ascii="Arial" w:hAnsi="Arial" w:cs="Arial"/>
          <w:bCs/>
          <w:sz w:val="24"/>
          <w:szCs w:val="24"/>
        </w:rPr>
        <w:t xml:space="preserve"> Gerechte Besteuerung von Internetkonzernen. Verhinderung von Steuerhinterziehung durch Schließung von Steuerschlupflöchern und Steueroasen.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stärken den Finanzplatz Deutschland und schützen Steuerzahler vor riskanten Finanzmarkt-Spekulationen: </w:t>
      </w:r>
      <w:r>
        <w:rPr>
          <w:rFonts w:ascii="Arial" w:hAnsi="Arial" w:cs="Arial"/>
          <w:bCs/>
          <w:sz w:val="24"/>
          <w:szCs w:val="24"/>
        </w:rPr>
        <w:t xml:space="preserve">Attraktive Rahmenbedingungen und Vorreiterrolle bei FinTech. Lehre aus Finanzmarktkrise ziehen: Überprüfung und Überarbeitung von Regulierungsmaßnahmen; </w:t>
      </w:r>
      <w:r>
        <w:rPr>
          <w:rFonts w:ascii="Arial" w:hAnsi="Arial" w:cs="Arial"/>
          <w:sz w:val="24"/>
          <w:szCs w:val="24"/>
        </w:rPr>
        <w:t>kein Finanzmarktakteur, kein Finanzprodukt und kein Markt soll in Zukunft ohne angemessene Regulierung bleiben</w:t>
      </w:r>
      <w:r>
        <w:rPr>
          <w:rFonts w:ascii="Arial" w:hAnsi="Arial" w:cs="Arial"/>
          <w:bCs/>
          <w:sz w:val="24"/>
          <w:szCs w:val="24"/>
        </w:rPr>
        <w:t>. Neue internationale Initiative zur Aufsicht über Hedgefonds und Schattenbanken.</w:t>
      </w:r>
    </w:p>
    <w:p w:rsidR="007F452D" w:rsidRDefault="006007DF">
      <w:pPr>
        <w:rPr>
          <w:rFonts w:ascii="Arial" w:hAnsi="Arial" w:cs="Arial"/>
          <w:b/>
          <w:bCs/>
          <w:sz w:val="24"/>
          <w:szCs w:val="24"/>
        </w:rPr>
      </w:pPr>
      <w:r>
        <w:rPr>
          <w:rFonts w:ascii="Arial" w:hAnsi="Arial" w:cs="Arial"/>
          <w:b/>
          <w:bCs/>
          <w:sz w:val="24"/>
          <w:szCs w:val="24"/>
        </w:rPr>
        <w:br w:type="page"/>
      </w:r>
    </w:p>
    <w:p w:rsidR="007F452D" w:rsidRDefault="006007DF">
      <w:pPr>
        <w:autoSpaceDE w:val="0"/>
        <w:autoSpaceDN w:val="0"/>
        <w:adjustRightInd w:val="0"/>
        <w:spacing w:after="0" w:line="240" w:lineRule="auto"/>
        <w:contextualSpacing/>
        <w:jc w:val="both"/>
        <w:rPr>
          <w:rFonts w:ascii="Arial" w:hAnsi="Arial" w:cs="Arial"/>
          <w:bCs/>
          <w:sz w:val="24"/>
          <w:szCs w:val="24"/>
          <w:u w:val="single"/>
        </w:rPr>
      </w:pPr>
      <w:r>
        <w:rPr>
          <w:rFonts w:ascii="Arial" w:hAnsi="Arial" w:cs="Arial"/>
          <w:bCs/>
          <w:sz w:val="24"/>
          <w:szCs w:val="24"/>
          <w:u w:val="single"/>
        </w:rPr>
        <w:lastRenderedPageBreak/>
        <w:t>Energie</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führen die Energiewende sauber, sicher und bezahlbar fort:</w:t>
      </w:r>
      <w:r>
        <w:rPr>
          <w:rFonts w:ascii="Arial" w:hAnsi="Arial" w:cs="Arial"/>
          <w:bCs/>
          <w:sz w:val="24"/>
          <w:szCs w:val="24"/>
        </w:rPr>
        <w:t xml:space="preserve"> Zielstrebiger, effizienter, netzsynchroner und zunehmend marktorientierter Ausbau der Erneuerbaren Energien. Unter diesen Voraussetzungen: Steigerung des Anteils Erneuerbarer Energien auf 65 Prozent bis 2030. Modernisierung der Stromnetze.</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gestalten die Energiewende mit den Menschen, Kommunen und Unternehmen:</w:t>
      </w:r>
      <w:r>
        <w:rPr>
          <w:rFonts w:ascii="Arial" w:hAnsi="Arial" w:cs="Arial"/>
          <w:bCs/>
          <w:sz w:val="24"/>
          <w:szCs w:val="24"/>
        </w:rPr>
        <w:t xml:space="preserve"> Stärkere Berücksichtigung des Naturschutzes und berechtigter Bürgerinteressen, u. a. durch mehr Erdverkabelung. Sicherung der Akteursvielfalt. Beteiligung Standortgemeinden an Wertschöpfung. Gewährleistung der Wettbewerbsfähigkeit energieintensiver Industrien.</w:t>
      </w:r>
    </w:p>
    <w:p w:rsidR="007F452D" w:rsidRDefault="007F452D">
      <w:pPr>
        <w:autoSpaceDE w:val="0"/>
        <w:autoSpaceDN w:val="0"/>
        <w:adjustRightInd w:val="0"/>
        <w:spacing w:after="0" w:line="240" w:lineRule="auto"/>
        <w:contextualSpacing/>
        <w:jc w:val="both"/>
        <w:rPr>
          <w:rFonts w:ascii="Arial" w:hAnsi="Arial" w:cs="Arial"/>
          <w:b/>
          <w:bCs/>
          <w:sz w:val="24"/>
          <w:szCs w:val="24"/>
        </w:rPr>
      </w:pPr>
    </w:p>
    <w:p w:rsidR="007F452D" w:rsidRDefault="006007DF">
      <w:pPr>
        <w:autoSpaceDE w:val="0"/>
        <w:autoSpaceDN w:val="0"/>
        <w:adjustRightInd w:val="0"/>
        <w:spacing w:after="0" w:line="240" w:lineRule="auto"/>
        <w:contextualSpacing/>
        <w:jc w:val="both"/>
        <w:rPr>
          <w:rFonts w:ascii="Arial" w:hAnsi="Arial" w:cs="Arial"/>
          <w:bCs/>
          <w:sz w:val="24"/>
          <w:szCs w:val="24"/>
          <w:u w:val="single"/>
        </w:rPr>
      </w:pPr>
      <w:r>
        <w:rPr>
          <w:rFonts w:ascii="Arial" w:hAnsi="Arial" w:cs="Arial"/>
          <w:bCs/>
          <w:sz w:val="24"/>
          <w:szCs w:val="24"/>
          <w:u w:val="single"/>
        </w:rPr>
        <w:t>Verkehr</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investieren auf Rekordniveau in unsere Infrastruktur. </w:t>
      </w:r>
      <w:r>
        <w:rPr>
          <w:rFonts w:ascii="Arial" w:hAnsi="Arial" w:cs="Arial"/>
          <w:bCs/>
          <w:sz w:val="24"/>
          <w:szCs w:val="24"/>
        </w:rPr>
        <w:t xml:space="preserve">Fortsetzung des Investitionshochlaufs für die Infrastruktur. Planungsbeschleunigungsgesetz, u. a. zur Vereinfachung von Verfahren und Digitalisierung von Planen und Bauen. Eine zusätzliche Milliarde für den regionalen Verkehr (GVFG). Mehr Investitionen in den Lärmschutz der Bürgerinnen und Bürger. Stärkung Schiene mit Schienenpakt 2030 und Elektrifizierung von 70 Prozent des Schienennetzes bis 2025.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schaffen den Sprung zur Mobilität 4.0:</w:t>
      </w:r>
      <w:r>
        <w:rPr>
          <w:rFonts w:ascii="Arial" w:hAnsi="Arial" w:cs="Arial"/>
          <w:bCs/>
          <w:sz w:val="24"/>
          <w:szCs w:val="24"/>
        </w:rPr>
        <w:t xml:space="preserve"> Entwicklung bundesweites eTicket im ÖPNV. Einrichtung neuer </w:t>
      </w:r>
      <w:r w:rsidR="009863D9">
        <w:rPr>
          <w:rFonts w:ascii="Arial" w:hAnsi="Arial" w:cs="Arial"/>
          <w:bCs/>
          <w:sz w:val="24"/>
          <w:szCs w:val="24"/>
        </w:rPr>
        <w:t xml:space="preserve">digitaler </w:t>
      </w:r>
      <w:r>
        <w:rPr>
          <w:rFonts w:ascii="Arial" w:hAnsi="Arial" w:cs="Arial"/>
          <w:bCs/>
          <w:sz w:val="24"/>
          <w:szCs w:val="24"/>
        </w:rPr>
        <w:t xml:space="preserve">Testfelder für automatisiertes Fahren. Rechtliche Voraussetzungen für Erprobung und Weiterentwicklung des autonomen Fahrens auf allen Verkehrsträgern. Öffnung Rechtsrahmen für neue Mobilitätsangebote wie Fahrgemeinschaften (Ride Pooling) mit Steuerungsmöglichkeiten durch die Kommunen.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verbessern die Luftreinhaltung in Städten und wollen Fahrverbote vermeiden: </w:t>
      </w:r>
      <w:r>
        <w:rPr>
          <w:rFonts w:ascii="Arial" w:hAnsi="Arial" w:cs="Arial"/>
          <w:bCs/>
          <w:sz w:val="24"/>
          <w:szCs w:val="24"/>
        </w:rPr>
        <w:t>Anreize für emissionsarme Mobilität (pauschale Dienstwagenbesteuerung von 0,5 Prozent für E-Fahrzeuge). Stärkung sauberer ÖPNV. Förderung von Carsharing und alternativen Antrieben. Investitionen in Elektromobilität, u. a. in Wasserstoff- und Brennstoffzelle. Unterstützung Batteriezellproduktion in Deutschland. Aufbau Ladeinfrastruktur mit 100</w:t>
      </w:r>
      <w:r w:rsidR="00D10046">
        <w:rPr>
          <w:rFonts w:ascii="Arial" w:hAnsi="Arial" w:cs="Arial"/>
          <w:bCs/>
          <w:sz w:val="24"/>
          <w:szCs w:val="24"/>
        </w:rPr>
        <w:t> </w:t>
      </w:r>
      <w:r>
        <w:rPr>
          <w:rFonts w:ascii="Arial" w:hAnsi="Arial" w:cs="Arial"/>
          <w:bCs/>
          <w:sz w:val="24"/>
          <w:szCs w:val="24"/>
        </w:rPr>
        <w:t>000 Ladepunkten bis 2020.</w:t>
      </w:r>
    </w:p>
    <w:p w:rsidR="007F452D" w:rsidRDefault="007F452D">
      <w:pPr>
        <w:pStyle w:val="Listenabsatz"/>
        <w:autoSpaceDE w:val="0"/>
        <w:autoSpaceDN w:val="0"/>
        <w:adjustRightInd w:val="0"/>
        <w:spacing w:after="0" w:line="240" w:lineRule="auto"/>
        <w:ind w:left="448"/>
        <w:jc w:val="both"/>
        <w:rPr>
          <w:rFonts w:ascii="Arial" w:hAnsi="Arial" w:cs="Arial"/>
          <w:bCs/>
          <w:sz w:val="24"/>
          <w:szCs w:val="24"/>
        </w:rPr>
      </w:pPr>
    </w:p>
    <w:p w:rsidR="007F452D" w:rsidRDefault="006007DF">
      <w:pPr>
        <w:autoSpaceDE w:val="0"/>
        <w:autoSpaceDN w:val="0"/>
        <w:adjustRightInd w:val="0"/>
        <w:spacing w:after="0" w:line="240" w:lineRule="auto"/>
        <w:contextualSpacing/>
        <w:jc w:val="both"/>
        <w:rPr>
          <w:rFonts w:ascii="Arial" w:hAnsi="Arial" w:cs="Arial"/>
          <w:bCs/>
          <w:sz w:val="24"/>
          <w:szCs w:val="24"/>
          <w:u w:val="single"/>
        </w:rPr>
      </w:pPr>
      <w:r>
        <w:rPr>
          <w:rFonts w:ascii="Arial" w:hAnsi="Arial" w:cs="Arial"/>
          <w:bCs/>
          <w:sz w:val="24"/>
          <w:szCs w:val="24"/>
          <w:u w:val="single"/>
        </w:rPr>
        <w:t xml:space="preserve">Landwirtschaft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stärken die heimische Landwirtschaft:</w:t>
      </w:r>
      <w:r>
        <w:rPr>
          <w:rFonts w:ascii="Arial" w:hAnsi="Arial" w:cs="Arial"/>
          <w:bCs/>
          <w:sz w:val="24"/>
          <w:szCs w:val="24"/>
        </w:rPr>
        <w:t xml:space="preserve"> Klares Bekenntnis zur bäuerlichen und regional verwurzelten Landwirtschaft. Bundesweites Gentechnikanbau-Verbot. Ausbau des Ökolandbaus. Nutzung der Potenziale der Digitalisierung. Weiterentwicklung und Entbürokratisierung der Gemeinsamen Europäischen Agrarpolitik (GAP).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übernehmen eine Vorreiterrolle beim Tierwohl:</w:t>
      </w:r>
      <w:r>
        <w:rPr>
          <w:rFonts w:ascii="Arial" w:hAnsi="Arial" w:cs="Arial"/>
          <w:bCs/>
          <w:sz w:val="24"/>
          <w:szCs w:val="24"/>
        </w:rPr>
        <w:t xml:space="preserve"> Weiterentwicklung Nutztierstrategie unter Beachtung von Tier- und Umweltschutz, Qualität und Marktorientierung. Einführung Tierwohllabel. Förderung besserer Haltungsbedingungen.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fördern gute Lebensmittel und gesunde Ernährung:</w:t>
      </w:r>
      <w:r>
        <w:rPr>
          <w:rFonts w:ascii="Arial" w:hAnsi="Arial" w:cs="Arial"/>
          <w:bCs/>
          <w:sz w:val="24"/>
          <w:szCs w:val="24"/>
        </w:rPr>
        <w:t xml:space="preserve"> Erhaltung der Vielfalt von Erzeugern und hochwertigen Lebensmitteln. Mehr Transparenz und Information über Nährwerte und Inhaltsstoffe. Eindämmung Lebensmittelverschwendung.</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ind w:left="3"/>
        <w:contextualSpacing/>
        <w:jc w:val="both"/>
        <w:rPr>
          <w:rFonts w:ascii="Arial" w:hAnsi="Arial" w:cs="Arial"/>
          <w:b/>
          <w:sz w:val="24"/>
          <w:szCs w:val="24"/>
        </w:rPr>
      </w:pPr>
      <w:r>
        <w:rPr>
          <w:rFonts w:ascii="Arial" w:hAnsi="Arial" w:cs="Arial"/>
          <w:b/>
          <w:bCs/>
          <w:sz w:val="24"/>
          <w:szCs w:val="24"/>
        </w:rPr>
        <w:t>Soziale Sicherheit gerecht und verlässlich gestalten (Kapitel VII)</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sorgen für Stabilität bei der Rente: </w:t>
      </w:r>
      <w:r>
        <w:rPr>
          <w:rFonts w:ascii="Arial" w:hAnsi="Arial" w:cs="Arial"/>
          <w:bCs/>
          <w:sz w:val="24"/>
          <w:szCs w:val="24"/>
        </w:rPr>
        <w:t xml:space="preserve">Absicherung der </w:t>
      </w:r>
      <w:r>
        <w:rPr>
          <w:rFonts w:ascii="Arial" w:hAnsi="Arial" w:cs="Arial"/>
          <w:sz w:val="24"/>
          <w:szCs w:val="24"/>
        </w:rPr>
        <w:t xml:space="preserve">gesetzlichen Rente auf heutigem Niveau von 48 Prozent bis zum Jahr 2025. </w:t>
      </w:r>
      <w:r>
        <w:rPr>
          <w:rFonts w:ascii="Arial" w:hAnsi="Arial" w:cs="Arial"/>
          <w:bCs/>
          <w:sz w:val="24"/>
          <w:szCs w:val="24"/>
        </w:rPr>
        <w:t xml:space="preserve">Haltelinie beim Beitragssatz von 20 Prozent. Einsetzung einer Rentenkommission zur langfristigen Stabilisierung von Beiträgen und Niveau der Rente für die Zeit nach 2025.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honorieren Lebensleistung und bekämpfen Altersarmut: </w:t>
      </w:r>
      <w:r>
        <w:rPr>
          <w:rFonts w:ascii="Arial" w:hAnsi="Arial" w:cs="Arial"/>
          <w:bCs/>
          <w:sz w:val="24"/>
          <w:szCs w:val="24"/>
        </w:rPr>
        <w:t>Einführung einer Grundrente 10 Prozent über der Grundsicherung für alle, die ein Leben lang ge</w:t>
      </w:r>
      <w:r>
        <w:rPr>
          <w:rFonts w:ascii="Arial" w:hAnsi="Arial" w:cs="Arial"/>
          <w:bCs/>
          <w:sz w:val="24"/>
          <w:szCs w:val="24"/>
        </w:rPr>
        <w:lastRenderedPageBreak/>
        <w:t>arbeitet haben, unter Einbeziehung von Kindererziehungs- und Pflegezeiten. Bessere Verschonungsregel für selbstgenutztes Wohneigentum. Bessere Anerkennung von Erziehungszeiten durch Mütterrente II. Verbesserungen bei der Erwerbsminderungsrente. Einbeziehung von Selbst</w:t>
      </w:r>
      <w:r w:rsidR="009863D9">
        <w:rPr>
          <w:rFonts w:ascii="Arial" w:hAnsi="Arial" w:cs="Arial"/>
          <w:bCs/>
          <w:sz w:val="24"/>
          <w:szCs w:val="24"/>
        </w:rPr>
        <w:t>st</w:t>
      </w:r>
      <w:r>
        <w:rPr>
          <w:rFonts w:ascii="Arial" w:hAnsi="Arial" w:cs="Arial"/>
          <w:bCs/>
          <w:sz w:val="24"/>
          <w:szCs w:val="24"/>
        </w:rPr>
        <w:t xml:space="preserve">ändigen in die gesetzliche Rentenversicherung mit Opt-out-Lösung und Altersvorsorgepflicht.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stärken die Teilhabe von Menschen mit Behinderungen:</w:t>
      </w:r>
      <w:r>
        <w:rPr>
          <w:rFonts w:ascii="Arial" w:hAnsi="Arial" w:cs="Arial"/>
          <w:bCs/>
          <w:sz w:val="24"/>
          <w:szCs w:val="24"/>
        </w:rPr>
        <w:t xml:space="preserve"> Investitionen in Ausbau der Barrierefreiheit im öffentlichen Raum und allen Bereichen des Alltags.</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verbessern spürbar die Pflege:</w:t>
      </w:r>
      <w:r>
        <w:rPr>
          <w:rFonts w:ascii="Arial" w:hAnsi="Arial" w:cs="Arial"/>
          <w:bCs/>
          <w:sz w:val="24"/>
          <w:szCs w:val="24"/>
        </w:rPr>
        <w:t xml:space="preserve"> Sofortprogramm Pflege mit 8</w:t>
      </w:r>
      <w:r w:rsidR="00F46163">
        <w:rPr>
          <w:rFonts w:ascii="Arial" w:hAnsi="Arial" w:cs="Arial"/>
          <w:bCs/>
          <w:sz w:val="24"/>
          <w:szCs w:val="24"/>
        </w:rPr>
        <w:t> </w:t>
      </w:r>
      <w:r>
        <w:rPr>
          <w:rFonts w:ascii="Arial" w:hAnsi="Arial" w:cs="Arial"/>
          <w:bCs/>
          <w:sz w:val="24"/>
          <w:szCs w:val="24"/>
        </w:rPr>
        <w:t xml:space="preserve">000 neuen Fachkraftstellen und besserer Bezahlung. „Konzertierte Aktion Pflege“ mit besserem Personalschlüssel und Ausbildungsoffensive für Pflegerinnen und Pfleger. Abbau finanzieller Ausbildungshürden bei der Pflegeausbildung. Unterstützung von Kindern pflegebedürftiger Eltern: Kein Rückgriff auf Einkommen bis 100.000 Euro im Jahr. Stärkung ambulante Alten- und Krankenpflege im ländlichen Raum.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schaffen eine gerechtere Finanzierung der GKV:</w:t>
      </w:r>
      <w:r>
        <w:rPr>
          <w:rFonts w:ascii="Arial" w:hAnsi="Arial" w:cs="Arial"/>
          <w:bCs/>
          <w:sz w:val="24"/>
          <w:szCs w:val="24"/>
        </w:rPr>
        <w:t xml:space="preserve"> Wiederherstellung Parität bei den Beiträgen zur Gesetzlichen Krankenversicherung. Ab 1. Januar 2019 werden Beiträge zur Krankenversicherung wieder in gleichem Maße von Arbeitgebern und Beschäftigten geleistet.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schaffen eine flächendeckend gute Gesundheitsversorgung:</w:t>
      </w:r>
      <w:r>
        <w:rPr>
          <w:rFonts w:ascii="Arial" w:hAnsi="Arial" w:cs="Arial"/>
          <w:bCs/>
          <w:sz w:val="24"/>
          <w:szCs w:val="24"/>
        </w:rPr>
        <w:t xml:space="preserve"> Mehr Investitionen in Krankenhäuser. Mehr Medizinstudienplätze und Landarztquote. Abschaffung Schulgeld für alle Gesundheitsberufe. Förderung Telemedizin. Einführung elektronische Patientenakte bis 2021. Nationales Gesundheitsportal für schnelle und verlässliche Information zu medizinischen Fragen.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verbessern die Versorgung der gesetzlich Versicherten:</w:t>
      </w:r>
      <w:r>
        <w:rPr>
          <w:rFonts w:ascii="Arial" w:hAnsi="Arial" w:cs="Arial"/>
          <w:bCs/>
          <w:sz w:val="24"/>
          <w:szCs w:val="24"/>
        </w:rPr>
        <w:t xml:space="preserve"> Festzuschüsse für Zahnersatz werden erhöht. Sprechstundenangebot wird verbessert. Ärztinnen und Ärzte, die in wirtschaftlich schwachen und unterversorgten ländlichen Räumen praktizieren, werden über regionale Zuschläge besonders unterstützt. Sowohl die ambulante Honorarordnung in der Gesetzlichen Krankenversicherung (EBM), als auch die Gebührenordnung der Privaten Krankenversicherung (GOÄ) müssen reformiert werden.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stärken die Apotheken vor Ort: </w:t>
      </w:r>
      <w:r>
        <w:rPr>
          <w:rFonts w:ascii="Arial" w:hAnsi="Arial" w:cs="Arial"/>
          <w:bCs/>
          <w:sz w:val="24"/>
          <w:szCs w:val="24"/>
        </w:rPr>
        <w:t>Einsatz für Verbot des Versandhandels mit verschreibungspflichtigen Arzneimitteln.</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ind w:left="3"/>
        <w:contextualSpacing/>
        <w:jc w:val="both"/>
        <w:rPr>
          <w:rFonts w:ascii="Arial" w:hAnsi="Arial" w:cs="Arial"/>
          <w:b/>
          <w:sz w:val="24"/>
          <w:szCs w:val="24"/>
        </w:rPr>
      </w:pPr>
      <w:r>
        <w:rPr>
          <w:rFonts w:ascii="Arial" w:hAnsi="Arial" w:cs="Arial"/>
          <w:b/>
          <w:sz w:val="24"/>
          <w:szCs w:val="24"/>
        </w:rPr>
        <w:t>Zuwanderung steuern, Integration fordern und unterstützen (Kapitel VIII)</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Pr>
          <w:rFonts w:ascii="Arial" w:hAnsi="Arial" w:cs="Arial"/>
          <w:b/>
          <w:bCs/>
          <w:sz w:val="24"/>
          <w:szCs w:val="24"/>
        </w:rPr>
        <w:t>Wir</w:t>
      </w:r>
      <w:r>
        <w:rPr>
          <w:rFonts w:ascii="Arial" w:hAnsi="Arial" w:cs="Arial"/>
          <w:b/>
          <w:sz w:val="24"/>
          <w:szCs w:val="24"/>
        </w:rPr>
        <w:t xml:space="preserve"> bekennen uns zu unseren rechtlichen und humanitären Verpflichtungen: </w:t>
      </w:r>
      <w:r>
        <w:rPr>
          <w:rFonts w:ascii="Arial" w:hAnsi="Arial" w:cs="Arial"/>
          <w:sz w:val="24"/>
          <w:szCs w:val="24"/>
        </w:rPr>
        <w:t>Grundrecht auf Asyl wird nicht angetastet. Bekenntnis zur Genfer Flüchtlingskonvention, zu den aus dem Recht der EU resultierenden Verpflichtungen, zur Bearbeitung jedes Asylantrags sowie zur UN-Kinderrechtskonvention und zur Europäischen Menschenrechtskonvention.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Pr>
          <w:rFonts w:ascii="Arial" w:hAnsi="Arial" w:cs="Arial"/>
          <w:b/>
          <w:bCs/>
          <w:sz w:val="24"/>
          <w:szCs w:val="24"/>
        </w:rPr>
        <w:t>Wir wollen eine Wiederholung der Situation von 2015 vermeiden:</w:t>
      </w:r>
      <w:r>
        <w:rPr>
          <w:rFonts w:ascii="Arial" w:hAnsi="Arial" w:cs="Arial"/>
          <w:bCs/>
          <w:sz w:val="24"/>
          <w:szCs w:val="24"/>
        </w:rPr>
        <w:t xml:space="preserve"> Deshalb Anstrengungen zu angemessener Steuerung und Begrenzung von Migrationsbewegungen, unter anderem Verbesserungen bei der Entwicklungszusammenarbeit, Ausbau humanitäres Engagement, Ausweitung Engagement Friedensmissionen, faire Handelsabkommen, verstärkter Klimaschutz und keine Rüstungsexporte in Krisenregionen.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Pr>
          <w:rFonts w:ascii="Arial" w:hAnsi="Arial" w:cs="Arial"/>
          <w:b/>
          <w:bCs/>
          <w:sz w:val="24"/>
          <w:szCs w:val="24"/>
        </w:rPr>
        <w:t>Wir</w:t>
      </w:r>
      <w:r>
        <w:rPr>
          <w:rFonts w:ascii="Arial" w:hAnsi="Arial" w:cs="Arial"/>
          <w:b/>
          <w:sz w:val="24"/>
          <w:szCs w:val="24"/>
        </w:rPr>
        <w:t xml:space="preserve"> stellen für die Zuwanderungszahlen fest, </w:t>
      </w:r>
      <w:r>
        <w:rPr>
          <w:rFonts w:ascii="Arial" w:hAnsi="Arial" w:cs="Arial"/>
          <w:sz w:val="24"/>
          <w:szCs w:val="24"/>
        </w:rPr>
        <w:t>dass sie basierend auf den Erfahrungen der letzten 20 Jahre sowie mit Blick auf die vereinbarten Maßnahmen und den unmittelbar steuerbaren Teil der Zuwanderung die Spanne von jährlich 180 000 bis 220 000 nicht übersteigen werden.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Pr>
          <w:rFonts w:ascii="Arial" w:hAnsi="Arial" w:cs="Arial"/>
          <w:b/>
          <w:sz w:val="24"/>
          <w:szCs w:val="24"/>
        </w:rPr>
        <w:t xml:space="preserve">Wir ordnen die Zuwanderung: </w:t>
      </w:r>
      <w:r>
        <w:rPr>
          <w:rFonts w:ascii="Arial" w:hAnsi="Arial" w:cs="Arial"/>
          <w:sz w:val="24"/>
          <w:szCs w:val="24"/>
        </w:rPr>
        <w:t>Klare Regeln für Familiennachzug und Härtefallregelung. Fluchtursachenbekämpfung in Entwicklungszusammenarbeit. Erweiterung der Liste der sicheren Herkunftsstaaten. Wirksamer Schutz der Binnengren</w:t>
      </w:r>
      <w:r>
        <w:rPr>
          <w:rFonts w:ascii="Arial" w:hAnsi="Arial" w:cs="Arial"/>
          <w:sz w:val="24"/>
          <w:szCs w:val="24"/>
        </w:rPr>
        <w:lastRenderedPageBreak/>
        <w:t>zen und Ausbau der europäischen Grenz- und Küstenwache (Frontex) zu einer echten europäischen Grenzschutzpolizei.</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sorgen für schnelle, umfassende und rechtssichere Verfahren:</w:t>
      </w:r>
      <w:r>
        <w:rPr>
          <w:rFonts w:ascii="Arial" w:hAnsi="Arial" w:cs="Arial"/>
          <w:bCs/>
          <w:sz w:val="24"/>
          <w:szCs w:val="24"/>
        </w:rPr>
        <w:t xml:space="preserve"> Schaffung von Aufnahme-, Entscheidungs- und Rückführungseinrichtungen </w:t>
      </w:r>
      <w:r>
        <w:rPr>
          <w:rFonts w:ascii="Arial" w:hAnsi="Arial" w:cs="Arial"/>
          <w:sz w:val="24"/>
          <w:szCs w:val="24"/>
        </w:rPr>
        <w:t>für die Beschleunigung von Asylverfahren. Unabhängige und flächendeckende Asylverfahrensberatung. Verbesserung von freiwilliger Rückkehr und konsequente Abschiebung von vollziehbar Ausreisepflichtigen. Unterscheidung bei Ausreisepflichtigen nach unverschuldetem oder zurechenbarem Ausreisehindernis, z. B. bei Bezug von Leistungen.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regeln die Zuwanderung von Fachkräften:</w:t>
      </w:r>
      <w:r>
        <w:rPr>
          <w:rFonts w:ascii="Arial" w:hAnsi="Arial" w:cs="Arial"/>
          <w:bCs/>
          <w:sz w:val="24"/>
          <w:szCs w:val="24"/>
        </w:rPr>
        <w:t xml:space="preserve"> </w:t>
      </w:r>
      <w:r>
        <w:rPr>
          <w:rFonts w:ascii="Arial" w:hAnsi="Arial" w:cs="Arial"/>
          <w:sz w:val="24"/>
          <w:szCs w:val="24"/>
        </w:rPr>
        <w:t>Fachkräfteeinwanderungsgesetz</w:t>
      </w:r>
      <w:r>
        <w:rPr>
          <w:rFonts w:ascii="Arial" w:hAnsi="Arial" w:cs="Arial"/>
          <w:bCs/>
          <w:sz w:val="24"/>
          <w:szCs w:val="24"/>
        </w:rPr>
        <w:t xml:space="preserve">, </w:t>
      </w:r>
      <w:r>
        <w:rPr>
          <w:rFonts w:ascii="Arial" w:hAnsi="Arial" w:cs="Arial"/>
          <w:sz w:val="24"/>
          <w:szCs w:val="24"/>
        </w:rPr>
        <w:t xml:space="preserve">das den steigenden Bedarf an Fachkräften durch </w:t>
      </w:r>
      <w:r>
        <w:rPr>
          <w:rFonts w:ascii="Arial" w:hAnsi="Arial" w:cs="Arial"/>
          <w:bCs/>
          <w:sz w:val="24"/>
          <w:szCs w:val="24"/>
        </w:rPr>
        <w:t>Erwerbsmigration neu und transparent regelt. Orientierung sowohl an volkswirtschaftlichen Erfordernissen als auch an Qualifikation, Alter, Sprache, Nachweis eines konkreten Arbeitsplatzes und Sicherung des Lebensunterhalts.</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setzen auf gelingende Integration: </w:t>
      </w:r>
      <w:r>
        <w:rPr>
          <w:rFonts w:ascii="Arial" w:hAnsi="Arial" w:cs="Arial"/>
          <w:bCs/>
          <w:sz w:val="24"/>
          <w:szCs w:val="24"/>
        </w:rPr>
        <w:t xml:space="preserve">Bundesweite Strategie nach Grundsatz „Fordern und Fördern“. Fortsetzung der Programme zur Entlastung von Ländern und Kommunen. Verbesserung von Qualität und Effizienz Integrations- und Sprachkurse. </w:t>
      </w:r>
      <w:r>
        <w:rPr>
          <w:rFonts w:ascii="Arial" w:hAnsi="Arial" w:cs="Arial"/>
          <w:sz w:val="24"/>
          <w:szCs w:val="24"/>
        </w:rPr>
        <w:t>Für langjährig Geduldete Verbesserungen bei der Ausbildung und Arbeitsmarktintegration.</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contextualSpacing/>
        <w:jc w:val="both"/>
        <w:rPr>
          <w:rFonts w:ascii="Arial" w:hAnsi="Arial" w:cs="Arial"/>
          <w:b/>
          <w:sz w:val="24"/>
          <w:szCs w:val="24"/>
        </w:rPr>
      </w:pPr>
      <w:r>
        <w:rPr>
          <w:rFonts w:ascii="Arial" w:hAnsi="Arial" w:cs="Arial"/>
          <w:b/>
          <w:bCs/>
          <w:sz w:val="24"/>
          <w:szCs w:val="24"/>
        </w:rPr>
        <w:t>Lebenswerte Städte, attraktive Regionen und bezahlbares Wohnen</w:t>
      </w:r>
      <w:r>
        <w:rPr>
          <w:rFonts w:ascii="Arial" w:hAnsi="Arial" w:cs="Arial"/>
          <w:b/>
          <w:sz w:val="24"/>
          <w:szCs w:val="24"/>
        </w:rPr>
        <w:t xml:space="preserve"> (Kapitel IX)</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stärken die Regionen:</w:t>
      </w:r>
      <w:r>
        <w:rPr>
          <w:rFonts w:ascii="Arial" w:hAnsi="Arial" w:cs="Arial"/>
          <w:bCs/>
          <w:sz w:val="24"/>
          <w:szCs w:val="24"/>
        </w:rPr>
        <w:t xml:space="preserve"> Gemeinsame Kommission „Gleichwertige Lebensverhältnisse“ aus Bund, Ländern und Kommunen. Neues gesamtdeutsches Fördersystem für strukturschwache Regionen. Überjährige Bündelung von Regionalfördermitteln für die Finanzierung von Regionalprojekten vor Ort. Fortführung der Entlastungen der Kommunen, u. a. bei Städtebau und Zuwanderung und Integration.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starten eine Wohnraumoffensive:</w:t>
      </w:r>
      <w:r>
        <w:rPr>
          <w:rFonts w:ascii="Arial" w:hAnsi="Arial" w:cs="Arial"/>
          <w:bCs/>
          <w:sz w:val="24"/>
          <w:szCs w:val="24"/>
        </w:rPr>
        <w:t xml:space="preserve"> 1,5 Millionen neue Wohnungen und Eigenheime. Prüfauftrag für Freibeträge für Familien beim Ersterwerb von Wohneigentum ohne Rückwirkung beim Länderfinanzausgleich. 2 Milliarden Euro für den sozialen Wohnungsbau. Förderung der energetischen Gebäudesanierung. Im bezahlbaren Mietsegment steuerliche Anreize für freifinanzierten Wohnungsneubau.</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unterstützen Familien beim Erwerb von Wohneigentum:</w:t>
      </w:r>
      <w:r>
        <w:rPr>
          <w:rFonts w:ascii="Arial" w:hAnsi="Arial" w:cs="Arial"/>
          <w:bCs/>
          <w:sz w:val="24"/>
          <w:szCs w:val="24"/>
        </w:rPr>
        <w:t xml:space="preserve"> Baukindergeld in Höhe von 1.200 Euro je Kind pro Jahr.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sorgen für bezahlbare Mieten:</w:t>
      </w:r>
      <w:r>
        <w:rPr>
          <w:rFonts w:ascii="Arial" w:hAnsi="Arial" w:cs="Arial"/>
          <w:bCs/>
          <w:sz w:val="24"/>
          <w:szCs w:val="24"/>
        </w:rPr>
        <w:t xml:space="preserve"> Dämpfung Mietanstieg, u. a. durch Verlängerung Bindungszeitraum des qualifizierten Mietspiegels. Absenkung Modernisierungsumlage auf 8 Prozent. Anpassung Wohngeld an individuelle Lebensbedingungen. Kappungsgrenze für Erhöhung von Mieten bei Modernisierungsmaßnahmen.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stärken bürgerschaftliches Engagement und Ehrenamt:</w:t>
      </w:r>
      <w:r>
        <w:rPr>
          <w:rFonts w:ascii="Arial" w:hAnsi="Arial" w:cs="Arial"/>
          <w:bCs/>
          <w:sz w:val="24"/>
          <w:szCs w:val="24"/>
        </w:rPr>
        <w:t xml:space="preserve"> Entbürokratisierung Ehrenamt. Gründung Ehrenamtsstiftung. Ausbau Mehrgenerationenhäuser. Stärkung Bundes- und Jugendfreiwilligendienst.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stellen die Grundsteuer auf eine feste Basis:</w:t>
      </w:r>
      <w:r>
        <w:rPr>
          <w:rFonts w:ascii="Arial" w:hAnsi="Arial" w:cs="Arial"/>
          <w:bCs/>
          <w:sz w:val="24"/>
          <w:szCs w:val="24"/>
        </w:rPr>
        <w:t xml:space="preserve"> Sicherung als wichtige Einnahmequelle der Kommunen. </w:t>
      </w:r>
    </w:p>
    <w:p w:rsidR="007F452D" w:rsidRDefault="007F452D">
      <w:pPr>
        <w:spacing w:after="0" w:line="240" w:lineRule="auto"/>
        <w:contextualSpacing/>
        <w:jc w:val="both"/>
        <w:rPr>
          <w:rFonts w:ascii="Arial" w:hAnsi="Arial" w:cs="Arial"/>
          <w:b/>
          <w:sz w:val="24"/>
          <w:szCs w:val="24"/>
        </w:rPr>
      </w:pPr>
    </w:p>
    <w:p w:rsidR="007F452D" w:rsidRDefault="006007DF">
      <w:pPr>
        <w:autoSpaceDE w:val="0"/>
        <w:autoSpaceDN w:val="0"/>
        <w:adjustRightInd w:val="0"/>
        <w:spacing w:after="0" w:line="240" w:lineRule="auto"/>
        <w:ind w:left="3"/>
        <w:contextualSpacing/>
        <w:jc w:val="both"/>
        <w:rPr>
          <w:rFonts w:ascii="Arial" w:hAnsi="Arial" w:cs="Arial"/>
          <w:b/>
          <w:sz w:val="24"/>
          <w:szCs w:val="24"/>
        </w:rPr>
      </w:pPr>
      <w:r>
        <w:rPr>
          <w:rFonts w:ascii="Arial" w:hAnsi="Arial" w:cs="Arial"/>
          <w:b/>
          <w:sz w:val="24"/>
          <w:szCs w:val="24"/>
        </w:rPr>
        <w:t>Ein handlungsfähiger und starker Staat für eine freie Gesellschaft (Kapitel X)</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stärken die Sicherheit in Deutschland:</w:t>
      </w:r>
      <w:r>
        <w:rPr>
          <w:rFonts w:ascii="Arial" w:hAnsi="Arial" w:cs="Arial"/>
          <w:bCs/>
          <w:sz w:val="24"/>
          <w:szCs w:val="24"/>
        </w:rPr>
        <w:t xml:space="preserve"> Pakt für den Rechtsstaat mit 15 000 neuen Stellen für die Sicherheitsbehörden in Bund und Ländern und 2</w:t>
      </w:r>
      <w:r w:rsidR="00F46163">
        <w:rPr>
          <w:rFonts w:ascii="Arial" w:hAnsi="Arial" w:cs="Arial"/>
          <w:bCs/>
          <w:sz w:val="24"/>
          <w:szCs w:val="24"/>
        </w:rPr>
        <w:t> </w:t>
      </w:r>
      <w:r>
        <w:rPr>
          <w:rFonts w:ascii="Arial" w:hAnsi="Arial" w:cs="Arial"/>
          <w:bCs/>
          <w:sz w:val="24"/>
          <w:szCs w:val="24"/>
        </w:rPr>
        <w:t xml:space="preserve">000 neuen Stellen in der Justiz. Stärkere Bekämpfung von Alltagskriminalität. Bessere Ausstattung für die Polizei, konsequente Digitalisierung, Ausweitung DNA-Analyse. Effektive und moderne Verfahren in allen Bereichen. Bessere und schnellere </w:t>
      </w:r>
      <w:r>
        <w:rPr>
          <w:rFonts w:ascii="Arial" w:hAnsi="Arial" w:cs="Arial"/>
          <w:bCs/>
          <w:sz w:val="24"/>
          <w:szCs w:val="24"/>
        </w:rPr>
        <w:lastRenderedPageBreak/>
        <w:t>Rechtsdurchsetzung. Gleichwertige Befugnisse im Internet wie außerhalb. Ausbau der Cyberabwehr. Verbesserte Zusammenarbeit der Behörden bei der Bekämpfung von Terrorismus etwa durch mehr Sicherheitskooperation in Europa. Musterpolizeigesetz für bundesweit einheitliche hohe Standards. Ausbau der Programme gegen jede Form von Extremismus.</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verbessern die Rechte von Opfern von Kriminalität und Terror:</w:t>
      </w:r>
      <w:r>
        <w:rPr>
          <w:rFonts w:ascii="Arial" w:hAnsi="Arial" w:cs="Arial"/>
          <w:bCs/>
          <w:sz w:val="24"/>
          <w:szCs w:val="24"/>
        </w:rPr>
        <w:t xml:space="preserve"> Neuregelung der Opferentschädigung. Besserer Schutz von Kindern im Internet. Einrichtung einer/s ständigen Opferbeauftragte/n – auch für die Angehörigen.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 xml:space="preserve">Wir bekämpfen konsequent Wirtschaftskriminalität, Einbruchdiebstahl und </w:t>
      </w:r>
      <w:r w:rsidR="00FA6302">
        <w:rPr>
          <w:rFonts w:ascii="Arial" w:hAnsi="Arial" w:cs="Arial"/>
          <w:b/>
          <w:bCs/>
          <w:sz w:val="24"/>
          <w:szCs w:val="24"/>
        </w:rPr>
        <w:t xml:space="preserve">Organisierte </w:t>
      </w:r>
      <w:r>
        <w:rPr>
          <w:rFonts w:ascii="Arial" w:hAnsi="Arial" w:cs="Arial"/>
          <w:b/>
          <w:bCs/>
          <w:sz w:val="24"/>
          <w:szCs w:val="24"/>
        </w:rPr>
        <w:t xml:space="preserve">Kriminalität: </w:t>
      </w:r>
      <w:r>
        <w:rPr>
          <w:rFonts w:ascii="Arial" w:hAnsi="Arial" w:cs="Arial"/>
          <w:bCs/>
          <w:sz w:val="24"/>
          <w:szCs w:val="24"/>
        </w:rPr>
        <w:t>Neues Sanktionsrecht für Unternehmen. Höhere Geldsanktionen. Aufstockung des KfW-Programms „Kriminalprävention durch Einbruchsicherung“.</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stärken die Rechte von Verbrauchern:</w:t>
      </w:r>
      <w:r>
        <w:rPr>
          <w:rFonts w:ascii="Arial" w:hAnsi="Arial" w:cs="Arial"/>
          <w:bCs/>
          <w:sz w:val="24"/>
          <w:szCs w:val="24"/>
        </w:rPr>
        <w:t xml:space="preserve"> Einführung Musterfeststellungsklage. Einrichtung bundesweites Verbraucherinformationsportal. Mehr Transparenz bei digitalen Produkten und Dienstleistungen. </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ind w:left="3"/>
        <w:contextualSpacing/>
        <w:jc w:val="both"/>
        <w:rPr>
          <w:rFonts w:ascii="Arial" w:hAnsi="Arial" w:cs="Arial"/>
          <w:b/>
          <w:sz w:val="24"/>
          <w:szCs w:val="24"/>
        </w:rPr>
      </w:pPr>
      <w:r>
        <w:rPr>
          <w:rFonts w:ascii="Arial" w:hAnsi="Arial" w:cs="Arial"/>
          <w:b/>
          <w:sz w:val="24"/>
          <w:szCs w:val="24"/>
        </w:rPr>
        <w:t>Verantwortungsvoller Umgang mit unseren Ressourcen (Kapitel XI)</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bleiben Vorreiter beim Klimaschutz:</w:t>
      </w:r>
      <w:r>
        <w:rPr>
          <w:rFonts w:ascii="Arial" w:hAnsi="Arial" w:cs="Arial"/>
          <w:bCs/>
          <w:sz w:val="24"/>
          <w:szCs w:val="24"/>
        </w:rPr>
        <w:t xml:space="preserve"> Bekenntnis zu den nationalen, europäischen und internationalen Klimazielen 2020, 2030 und 2050. Handlungslücke beim Klimaschutz bis 2020 verkleinern. Gesetz zur Einhaltung der Klimaziele 2030.</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gestalten den Wandel gemeinsam mit betroffenen Regionen:</w:t>
      </w:r>
      <w:r>
        <w:rPr>
          <w:rFonts w:ascii="Arial" w:hAnsi="Arial" w:cs="Arial"/>
          <w:bCs/>
          <w:sz w:val="24"/>
          <w:szCs w:val="24"/>
        </w:rPr>
        <w:t xml:space="preserve"> Einrichtung einer Kommission für Aktionsprogramm zur Erreichung des 40-Prozent-Ziels, zur Reduzierung der Kohleverstromung und zur Absicherung des notwendigen Strukturwandels.</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bewahren unsere Umwelt für kommende Generationen: </w:t>
      </w:r>
      <w:r>
        <w:rPr>
          <w:rFonts w:ascii="Arial" w:hAnsi="Arial" w:cs="Arial"/>
          <w:bCs/>
          <w:sz w:val="24"/>
          <w:szCs w:val="24"/>
        </w:rPr>
        <w:t xml:space="preserve">Schutz der biologischen Vielfalt voranbringen. Wirksames Engagement gegen Insektensterben. Initiativen für saubere Luft und den Schutz von Wasser, Böden und Weltmeeren u. a. vor Vermüllung.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halten am Ausstieg aus der Kernenergie fest: </w:t>
      </w:r>
      <w:r>
        <w:rPr>
          <w:rFonts w:ascii="Arial" w:hAnsi="Arial" w:cs="Arial"/>
          <w:bCs/>
          <w:sz w:val="24"/>
          <w:szCs w:val="24"/>
        </w:rPr>
        <w:t>Keine EU-Förderung für neue Atomkraftwerke. Beendigung aller Beteiligungen staatlicher Fonds an AKW im Ausland.</w:t>
      </w:r>
    </w:p>
    <w:p w:rsidR="007F452D" w:rsidRDefault="007F452D">
      <w:pPr>
        <w:spacing w:after="0" w:line="240" w:lineRule="auto"/>
        <w:contextualSpacing/>
        <w:jc w:val="both"/>
        <w:rPr>
          <w:rFonts w:ascii="Arial" w:hAnsi="Arial" w:cs="Arial"/>
          <w:sz w:val="24"/>
          <w:szCs w:val="24"/>
        </w:rPr>
      </w:pPr>
    </w:p>
    <w:p w:rsidR="007F452D" w:rsidRDefault="006007DF">
      <w:pPr>
        <w:autoSpaceDE w:val="0"/>
        <w:autoSpaceDN w:val="0"/>
        <w:adjustRightInd w:val="0"/>
        <w:spacing w:after="0" w:line="240" w:lineRule="auto"/>
        <w:contextualSpacing/>
        <w:jc w:val="both"/>
        <w:rPr>
          <w:rFonts w:ascii="Arial" w:hAnsi="Arial" w:cs="Arial"/>
          <w:b/>
          <w:sz w:val="24"/>
          <w:szCs w:val="24"/>
        </w:rPr>
      </w:pPr>
      <w:r>
        <w:rPr>
          <w:rFonts w:ascii="Arial" w:hAnsi="Arial" w:cs="Arial"/>
          <w:b/>
          <w:sz w:val="24"/>
          <w:szCs w:val="24"/>
        </w:rPr>
        <w:t>Deutschlands Verantwortung für Frieden, Freiheit und Sicherheit in der Welt (Kapitel XII)</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bleiben dem Frieden verpflichtet: </w:t>
      </w:r>
      <w:r>
        <w:rPr>
          <w:rFonts w:ascii="Arial" w:hAnsi="Arial" w:cs="Arial"/>
          <w:bCs/>
          <w:sz w:val="24"/>
          <w:szCs w:val="24"/>
        </w:rPr>
        <w:t>Gerechte Gestaltung der Globalisierung. Nachhaltige Entwicklungspolitik. Mehr internationale Zusammenarbeit und Bekenntnis zur Abrüstung.</w:t>
      </w:r>
      <w:r>
        <w:rPr>
          <w:rFonts w:ascii="Arial" w:hAnsi="Arial" w:cs="Arial"/>
          <w:b/>
          <w:bCs/>
          <w:sz w:val="24"/>
          <w:szCs w:val="24"/>
        </w:rPr>
        <w:t xml:space="preserve"> </w:t>
      </w:r>
      <w:r>
        <w:rPr>
          <w:rFonts w:ascii="Arial" w:hAnsi="Arial" w:cs="Arial"/>
          <w:bCs/>
          <w:sz w:val="24"/>
          <w:szCs w:val="24"/>
        </w:rPr>
        <w:t>Weitere Einschränkung von Rüstungsexporten.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Wir stehen zu unseren Bündnisverpflichtungen und Allianzen:</w:t>
      </w:r>
      <w:r>
        <w:rPr>
          <w:rFonts w:ascii="Arial" w:hAnsi="Arial" w:cs="Arial"/>
          <w:bCs/>
          <w:sz w:val="24"/>
          <w:szCs w:val="24"/>
        </w:rPr>
        <w:t xml:space="preserve"> Bekenntnis zu internationalen Bündnissen NATO, UN und OSZE sowie zu transatlantischer Partnerschaft. Mehr Mittel für Entwicklungszusammenarbeit, zivile Krisenprävention, humanitäre Hilfe, Verteidigung und Bundeswehr – zusätzliche finanzielle Mittel für diese Bereiche sollen im Verhältnis 1:1 prioritär erhöht werden.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Wir stärken unsere Bundeswehr und die europäische Verteidigungsstruktur:</w:t>
      </w:r>
      <w:r>
        <w:rPr>
          <w:rFonts w:ascii="Arial" w:hAnsi="Arial" w:cs="Arial"/>
          <w:bCs/>
          <w:sz w:val="24"/>
          <w:szCs w:val="24"/>
        </w:rPr>
        <w:t xml:space="preserve"> Mehr Personal, beste Ausbildung und moderne Ausstattung bei der Bundeswehr durch einen höheren Verteidigungsetat. Ausbau der europäischen Verteidigungsunion mit PESCO, europäischem Verteidigungsfonds und weiteren Schritten auf dem Weg zur „Armee der Europäer“.</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setzen bei der EU-Erweiterung auf Gründlichkeit vor Schnelligkeit: </w:t>
      </w:r>
      <w:r>
        <w:rPr>
          <w:rFonts w:ascii="Arial" w:hAnsi="Arial" w:cs="Arial"/>
          <w:bCs/>
          <w:sz w:val="24"/>
          <w:szCs w:val="24"/>
        </w:rPr>
        <w:t xml:space="preserve">Klare Erwartung der Kriterieneinhaltung vor EU-Beitritt der Westbalkanstaaten. Im EU-Beitrittsprozess der Türkei keine Kapitel schließen und keine neuen öffnen. Keine </w:t>
      </w:r>
      <w:r>
        <w:rPr>
          <w:rFonts w:ascii="Arial" w:hAnsi="Arial" w:cs="Arial"/>
          <w:bCs/>
          <w:sz w:val="24"/>
          <w:szCs w:val="24"/>
        </w:rPr>
        <w:lastRenderedPageBreak/>
        <w:t>Visaliberalisierung für die Türkei, bis Voraussetzungen erfüllt sind.</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schaffen Zukunftsperspektiven vor Ort und bekämpfen Fluchtursachen: </w:t>
      </w:r>
      <w:r>
        <w:rPr>
          <w:rFonts w:ascii="Arial" w:hAnsi="Arial" w:cs="Arial"/>
          <w:bCs/>
          <w:sz w:val="24"/>
          <w:szCs w:val="24"/>
        </w:rPr>
        <w:t>Mehr Mittel für Entwicklungszusammenarbeit. Marshallplan mit Afrika umsetzen, um mehr Chancen und Arbeitsplätze zu schaffen. Fairen Handel fördern. Investitionen in Fluchtursachenbekämpfung und Umsetzung von Rückkehrerprogrammen.</w:t>
      </w:r>
      <w:r>
        <w:rPr>
          <w:rFonts w:ascii="Arial" w:hAnsi="Arial" w:cs="Arial"/>
          <w:b/>
          <w:bCs/>
          <w:sz w:val="24"/>
          <w:szCs w:val="24"/>
        </w:rPr>
        <w:t xml:space="preserve"> </w:t>
      </w:r>
      <w:r>
        <w:rPr>
          <w:rFonts w:ascii="Arial" w:hAnsi="Arial" w:cs="Arial"/>
          <w:bCs/>
          <w:sz w:val="24"/>
          <w:szCs w:val="24"/>
        </w:rPr>
        <w:t>Ausbau „Cash for Work“-Programm, das in Heimatländern gute Einkommen ermöglicht.</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setzen uns ein für Menschenrechte und Religionsfreiheit in der Welt: </w:t>
      </w:r>
      <w:r>
        <w:rPr>
          <w:rFonts w:ascii="Arial" w:hAnsi="Arial" w:cs="Arial"/>
          <w:bCs/>
          <w:sz w:val="24"/>
          <w:szCs w:val="24"/>
        </w:rPr>
        <w:t>Konsequente Umsetzung des Nationalen Aktionsplans Wirtschaft und Menschenrechte.</w:t>
      </w:r>
      <w:r>
        <w:rPr>
          <w:rFonts w:ascii="Arial" w:hAnsi="Arial" w:cs="Arial"/>
          <w:b/>
          <w:bCs/>
          <w:sz w:val="24"/>
          <w:szCs w:val="24"/>
        </w:rPr>
        <w:t xml:space="preserve"> </w:t>
      </w:r>
      <w:r>
        <w:rPr>
          <w:rFonts w:ascii="Arial" w:hAnsi="Arial" w:cs="Arial"/>
          <w:bCs/>
          <w:sz w:val="24"/>
          <w:szCs w:val="24"/>
        </w:rPr>
        <w:t>Einsetzung Beauftragter der Bundesregierung für weltweite Religionsfreiheit.</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Pr>
          <w:rFonts w:ascii="Arial" w:hAnsi="Arial" w:cs="Arial"/>
          <w:b/>
          <w:bCs/>
          <w:sz w:val="24"/>
          <w:szCs w:val="24"/>
        </w:rPr>
        <w:t xml:space="preserve">Wir wollen fairen Welthandel: </w:t>
      </w:r>
      <w:r>
        <w:rPr>
          <w:rFonts w:ascii="Arial" w:hAnsi="Arial" w:cs="Arial"/>
          <w:sz w:val="24"/>
          <w:szCs w:val="24"/>
        </w:rPr>
        <w:t>Deutschland als Vorreiter für eine faire EU-Handelspolitik: Eintreten für verbindliche soziale, menschenrechtliche und ökologische Standards in EU-Handels-, -Investitions- und -Wirtschaftspartner-schaftsabkommen. Globale Nachhaltigkeitsstrategie Agenda 2030 als Richtschnur deutscher Politik.</w:t>
      </w:r>
    </w:p>
    <w:p w:rsidR="007F452D" w:rsidRDefault="007F452D">
      <w:pPr>
        <w:spacing w:after="0" w:line="240" w:lineRule="auto"/>
        <w:contextualSpacing/>
        <w:jc w:val="both"/>
        <w:rPr>
          <w:rFonts w:ascii="Arial" w:hAnsi="Arial" w:cs="Arial"/>
          <w:sz w:val="24"/>
          <w:szCs w:val="24"/>
        </w:rPr>
      </w:pPr>
    </w:p>
    <w:p w:rsidR="007F452D" w:rsidRDefault="006007DF">
      <w:pPr>
        <w:autoSpaceDE w:val="0"/>
        <w:autoSpaceDN w:val="0"/>
        <w:adjustRightInd w:val="0"/>
        <w:spacing w:after="0" w:line="240" w:lineRule="auto"/>
        <w:ind w:left="3"/>
        <w:contextualSpacing/>
        <w:jc w:val="both"/>
        <w:rPr>
          <w:rFonts w:ascii="Arial" w:hAnsi="Arial" w:cs="Arial"/>
          <w:b/>
          <w:sz w:val="24"/>
          <w:szCs w:val="24"/>
        </w:rPr>
      </w:pPr>
      <w:r>
        <w:rPr>
          <w:rFonts w:ascii="Arial" w:hAnsi="Arial" w:cs="Arial"/>
          <w:b/>
          <w:sz w:val="24"/>
          <w:szCs w:val="24"/>
        </w:rPr>
        <w:t>Zusammenhalt und Erneuerung – Demokratie beleben (Kapitel XIII)</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Pr>
          <w:rFonts w:ascii="Arial" w:hAnsi="Arial" w:cs="Arial"/>
          <w:b/>
          <w:bCs/>
          <w:sz w:val="24"/>
          <w:szCs w:val="24"/>
        </w:rPr>
        <w:t>Wir</w:t>
      </w:r>
      <w:r>
        <w:rPr>
          <w:rFonts w:ascii="Arial" w:hAnsi="Arial" w:cs="Arial"/>
          <w:b/>
          <w:sz w:val="24"/>
          <w:szCs w:val="24"/>
        </w:rPr>
        <w:t xml:space="preserve"> machen Kulturpolitik für das ganze Land: </w:t>
      </w:r>
      <w:r>
        <w:rPr>
          <w:rFonts w:ascii="Arial" w:hAnsi="Arial" w:cs="Arial"/>
          <w:sz w:val="24"/>
          <w:szCs w:val="24"/>
        </w:rPr>
        <w:t xml:space="preserve">„Agenda für Kultur und Zukunft“ mit Ländern, Kommunen und Zivilgesellschaft. Neues Programm „Kultur in den Regionen“ für zeitgenössische Kunst und Kultur.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sz w:val="24"/>
          <w:szCs w:val="24"/>
        </w:rPr>
      </w:pPr>
      <w:r>
        <w:rPr>
          <w:rFonts w:ascii="Arial" w:hAnsi="Arial" w:cs="Arial"/>
          <w:b/>
          <w:bCs/>
          <w:sz w:val="24"/>
          <w:szCs w:val="24"/>
        </w:rPr>
        <w:t>Wir</w:t>
      </w:r>
      <w:r>
        <w:rPr>
          <w:rFonts w:ascii="Arial" w:hAnsi="Arial" w:cs="Arial"/>
          <w:b/>
          <w:sz w:val="24"/>
          <w:szCs w:val="24"/>
        </w:rPr>
        <w:t xml:space="preserve"> wollen starke Kulturregionen und bessere Zugänge zu Kunst und Kultur: </w:t>
      </w:r>
      <w:r>
        <w:rPr>
          <w:rFonts w:ascii="Arial" w:hAnsi="Arial" w:cs="Arial"/>
          <w:sz w:val="24"/>
          <w:szCs w:val="24"/>
        </w:rPr>
        <w:t xml:space="preserve">Mehr Unterstützung für Bibliotheken und Stadtteilkulturzentren. Regelmäßiger freier Eintritt in bundesgeförderte Kultureinrichtungen.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sz w:val="24"/>
          <w:szCs w:val="24"/>
        </w:rPr>
      </w:pPr>
      <w:r>
        <w:rPr>
          <w:rFonts w:ascii="Arial" w:hAnsi="Arial" w:cs="Arial"/>
          <w:b/>
          <w:sz w:val="24"/>
          <w:szCs w:val="24"/>
        </w:rPr>
        <w:t xml:space="preserve">Wir </w:t>
      </w:r>
      <w:r>
        <w:rPr>
          <w:rFonts w:ascii="Arial" w:hAnsi="Arial" w:cs="Arial"/>
          <w:b/>
          <w:bCs/>
          <w:sz w:val="24"/>
          <w:szCs w:val="24"/>
        </w:rPr>
        <w:t>wollen</w:t>
      </w:r>
      <w:r>
        <w:rPr>
          <w:rFonts w:ascii="Arial" w:hAnsi="Arial" w:cs="Arial"/>
          <w:b/>
          <w:sz w:val="24"/>
          <w:szCs w:val="24"/>
        </w:rPr>
        <w:t xml:space="preserve"> das Gedenken wachhalten: </w:t>
      </w:r>
      <w:r>
        <w:rPr>
          <w:rFonts w:ascii="Arial" w:hAnsi="Arial" w:cs="Arial"/>
          <w:sz w:val="24"/>
          <w:szCs w:val="24"/>
        </w:rPr>
        <w:t xml:space="preserve">Kampf gegen Antisemitismus. Programm „Jugend erinnert“ – Besuche von Gedenkorten und Workshops. Mehr Unterstützung auch für kleine zivilgesellschaftliche Initiativen. </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sz w:val="24"/>
          <w:szCs w:val="24"/>
        </w:rPr>
      </w:pPr>
      <w:r>
        <w:rPr>
          <w:rFonts w:ascii="Arial" w:hAnsi="Arial" w:cs="Arial"/>
          <w:b/>
          <w:bCs/>
          <w:sz w:val="24"/>
          <w:szCs w:val="24"/>
        </w:rPr>
        <w:t>Wir</w:t>
      </w:r>
      <w:r>
        <w:rPr>
          <w:rFonts w:ascii="Arial" w:hAnsi="Arial" w:cs="Arial"/>
          <w:b/>
          <w:sz w:val="24"/>
          <w:szCs w:val="24"/>
        </w:rPr>
        <w:t xml:space="preserve"> bekennen uns zur Medien- und Pressefreiheit: </w:t>
      </w:r>
      <w:r>
        <w:rPr>
          <w:rFonts w:ascii="Arial" w:hAnsi="Arial" w:cs="Arial"/>
          <w:sz w:val="24"/>
          <w:szCs w:val="24"/>
        </w:rPr>
        <w:t>Stärkung von Berufsgeheimnis und Auskunftsrechten. Stärkung der Deutschen Welle.</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sz w:val="24"/>
          <w:szCs w:val="24"/>
        </w:rPr>
      </w:pPr>
      <w:r>
        <w:rPr>
          <w:rFonts w:ascii="Arial" w:hAnsi="Arial" w:cs="Arial"/>
          <w:b/>
          <w:sz w:val="24"/>
          <w:szCs w:val="24"/>
        </w:rPr>
        <w:t xml:space="preserve">Wir stärken den Kreativ-, Film- und Medienstandort: </w:t>
      </w:r>
      <w:r>
        <w:rPr>
          <w:rFonts w:ascii="Arial" w:hAnsi="Arial" w:cs="Arial"/>
          <w:sz w:val="24"/>
          <w:szCs w:val="24"/>
        </w:rPr>
        <w:t>Verstetigung Filmförderung mit umfassender Förderung audiovisueller Inhalte. Neues „Zukunftsprogramm Kino“. Einführung von Games-Förderung auf international wettbewerbsfähigem Niveau. Verbesserung der sozialen Absicherung von Kreativen.</w:t>
      </w:r>
    </w:p>
    <w:p w:rsidR="007F452D" w:rsidRDefault="007F452D">
      <w:pPr>
        <w:autoSpaceDE w:val="0"/>
        <w:autoSpaceDN w:val="0"/>
        <w:adjustRightInd w:val="0"/>
        <w:spacing w:after="0" w:line="240" w:lineRule="auto"/>
        <w:contextualSpacing/>
        <w:jc w:val="both"/>
        <w:rPr>
          <w:rFonts w:ascii="Arial" w:hAnsi="Arial" w:cs="Arial"/>
          <w:b/>
          <w:sz w:val="24"/>
          <w:szCs w:val="24"/>
        </w:rPr>
      </w:pPr>
    </w:p>
    <w:p w:rsidR="007F452D" w:rsidRDefault="006007DF">
      <w:pPr>
        <w:autoSpaceDE w:val="0"/>
        <w:autoSpaceDN w:val="0"/>
        <w:adjustRightInd w:val="0"/>
        <w:spacing w:after="0" w:line="240" w:lineRule="auto"/>
        <w:contextualSpacing/>
        <w:jc w:val="both"/>
        <w:rPr>
          <w:rFonts w:ascii="Arial" w:hAnsi="Arial" w:cs="Arial"/>
          <w:b/>
          <w:sz w:val="24"/>
          <w:szCs w:val="24"/>
        </w:rPr>
      </w:pPr>
      <w:r>
        <w:rPr>
          <w:rFonts w:ascii="Arial" w:hAnsi="Arial" w:cs="Arial"/>
          <w:b/>
          <w:sz w:val="24"/>
          <w:szCs w:val="24"/>
        </w:rPr>
        <w:t>Arbeitsweise der Regierung und Fraktionen (Kapitel XIV)</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Pr>
          <w:rFonts w:ascii="Arial" w:hAnsi="Arial" w:cs="Arial"/>
          <w:b/>
          <w:sz w:val="24"/>
          <w:szCs w:val="24"/>
        </w:rPr>
        <w:t>Wir stärken den Bundestag als zentralen Ort der politischen und gesellschaftlichen Debatte:</w:t>
      </w:r>
      <w:r>
        <w:rPr>
          <w:rFonts w:ascii="Arial" w:hAnsi="Arial" w:cs="Arial"/>
          <w:sz w:val="24"/>
          <w:szCs w:val="24"/>
        </w:rPr>
        <w:t xml:space="preserve"> Regierungsbefragung reformieren, regelmäßige Befragung der Bundeskanzlerin, Orientierungsdebatten zu den großen innen- und außenpolitischen Themen im Plenum.</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i/>
          <w:sz w:val="24"/>
          <w:szCs w:val="24"/>
        </w:rPr>
      </w:pPr>
      <w:r>
        <w:rPr>
          <w:rFonts w:ascii="Arial" w:hAnsi="Arial" w:cs="Arial"/>
          <w:b/>
          <w:sz w:val="24"/>
          <w:szCs w:val="24"/>
        </w:rPr>
        <w:t>Wir überprüfen die Einhaltung des Koalitionsvertrages:</w:t>
      </w:r>
      <w:r>
        <w:rPr>
          <w:rFonts w:ascii="Arial" w:hAnsi="Arial" w:cs="Arial"/>
          <w:sz w:val="24"/>
          <w:szCs w:val="24"/>
        </w:rPr>
        <w:t xml:space="preserve"> Zur Mitte der Wahlperiode Bestandsaufnahme des Koalitionsvertrages und Entscheidung, welche neuen Vorhaben vereinbart werden müssen.</w:t>
      </w:r>
      <w:r>
        <w:rPr>
          <w:rFonts w:ascii="Arial" w:hAnsi="Arial" w:cs="Arial"/>
          <w:bCs/>
          <w:i/>
          <w:sz w:val="24"/>
          <w:szCs w:val="24"/>
        </w:rPr>
        <w:br w:type="page"/>
      </w:r>
    </w:p>
    <w:p w:rsidR="007F452D" w:rsidRDefault="006007DF">
      <w:pPr>
        <w:pStyle w:val="berschrift1"/>
        <w:numPr>
          <w:ilvl w:val="0"/>
          <w:numId w:val="8"/>
        </w:numPr>
        <w:ind w:left="426" w:hanging="142"/>
        <w:contextualSpacing/>
      </w:pPr>
      <w:bookmarkStart w:id="4" w:name="_Toc505767141"/>
      <w:r>
        <w:lastRenderedPageBreak/>
        <w:t>Familien und Kinder im Mittelpunkt</w:t>
      </w:r>
      <w:bookmarkEnd w:id="4"/>
    </w:p>
    <w:p w:rsidR="007F452D" w:rsidRDefault="007F452D">
      <w:pPr>
        <w:spacing w:after="0" w:line="240" w:lineRule="auto"/>
        <w:contextualSpacing/>
        <w:jc w:val="both"/>
        <w:rPr>
          <w:rFonts w:ascii="Arial" w:hAnsi="Arial" w:cs="Arial"/>
          <w:sz w:val="24"/>
        </w:rPr>
      </w:pPr>
    </w:p>
    <w:p w:rsidR="007F452D" w:rsidRDefault="006007DF">
      <w:pPr>
        <w:pStyle w:val="berschrift2"/>
        <w:numPr>
          <w:ilvl w:val="1"/>
          <w:numId w:val="7"/>
        </w:numPr>
        <w:contextualSpacing/>
        <w:rPr>
          <w:szCs w:val="24"/>
        </w:rPr>
      </w:pPr>
      <w:bookmarkStart w:id="5" w:name="_Toc505767142"/>
      <w:r>
        <w:rPr>
          <w:szCs w:val="24"/>
        </w:rPr>
        <w:t>Familien</w:t>
      </w:r>
      <w:bookmarkEnd w:id="5"/>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Familien halten unsere Gesellschaft zusammen. Sie zu stärken und zu entlasten ist unser Ziel. Wir schreiben Familien kein bestimmtes Familienmodell vor. Wir respektieren die unterschiedlichen Formen des Zusammenlebens. Wir werden alle Familien finanziell entlasten, die Kinderbetreuung verbessern und mehr Zeit für Familie ermöglichen. Dabei wollen wir mehr Transparenz über familienpolitische Leistungen, leichtere Antragstellung und schnellere Bearbeitung von Anträgen auch durch digitale Angebote und Verfahren. Mehr Leistungen für Familien als bisher sollen noch in dieser Legislaturperiode online beantragt werden können.</w:t>
      </w:r>
    </w:p>
    <w:p w:rsidR="007F452D" w:rsidRDefault="007F452D">
      <w:pPr>
        <w:spacing w:after="0" w:line="240" w:lineRule="auto"/>
        <w:contextualSpacing/>
        <w:jc w:val="both"/>
        <w:rPr>
          <w:rFonts w:ascii="Arial" w:hAnsi="Arial" w:cs="Arial"/>
          <w:b/>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Das Kindergeld als bewährte und wirksame familienpolitische Leistung werden wir in dieser Legislaturperiode pro Kind um 25 Euro pro Monat erhöhen – in zwei Teilschritten (zum 1. Juli 2019 um zehn Euro, zum 1. Januar 2021 um weitere 15 Euro). Gleichzeitig steigt der steuerliche Kinderfreibetrag entsprechend.</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ein Maßnahmenpaket zur Bekämpfung der Kinderarmut schnüren: Dazu wollen wir zur Entlastung einkommensschwacher Familien, insbesondere auch Alleinerziehender und kinderreicher Familien, den Kinderzuschlag erhöhen. Gemeinsam mit dem Kindergeld soll der Mindestbedarf des sächlichen Existenzminimums (derzeit 399 Euro) gedeckt werden. Wir werden die harte Abbruchkante abschaffen und sorgen so dafür, dass die Leistung bei steigendem Einkommen langsam ausläuft, so dass vom Einkommen mehr übrig bleibt. Damit wollen wir die Leistungsbereitschaft fördern und Anreize zur Aufnahme und Steigerung von Erwerbsarbeit der Eltern setzen. Dabei müssen wir prüfen, wie Kinderzuschlag, Wohngeld, Kinderunterhalt und/oder Unterhaltsvorschuss besser aufeinander abgestimmt werden können.</w:t>
      </w:r>
      <w:r>
        <w:rPr>
          <w:rFonts w:ascii="Arial" w:hAnsi="Arial" w:cs="Arial"/>
          <w:sz w:val="24"/>
          <w:szCs w:val="24"/>
          <w:lang w:eastAsia="de-DE"/>
        </w:rPr>
        <w:t xml:space="preserve"> D</w:t>
      </w:r>
      <w:r>
        <w:rPr>
          <w:rFonts w:ascii="Arial" w:hAnsi="Arial" w:cs="Arial"/>
          <w:sz w:val="24"/>
          <w:szCs w:val="24"/>
        </w:rPr>
        <w:t xml:space="preserve">ie Beantragung dieser Leistung für Familien wollen wir entbürokratisieren und die Antragstellung dort, wo es möglich ist, mit Anträgen auf weitere Leistungen zusammenführen. Wir wollen erreichen, dass Berechtigte die Leistung tatsächlich erhalten. </w:t>
      </w:r>
      <w:r>
        <w:rPr>
          <w:rFonts w:ascii="Arial" w:hAnsi="Arial" w:cs="Arial"/>
          <w:sz w:val="24"/>
          <w:szCs w:val="24"/>
          <w:lang w:eastAsia="de-DE"/>
        </w:rPr>
        <w:t>Für Vermögen und Einkommen des Kindes aus Erwerbstätigkeit oder Ausbildungsvergütung werden wir einen Freibetrag schaffen.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dass Kinder unabhängig vom Elternhaus die gleichen Chancen auf gesellschaftliche Teilhabe erhalten und ihre Fähigkeiten entwickeln können.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Auch die Leistungen für Bildung und Teilhabe werden wir verbessern, Hemmnisse der Inanspruchnahme beseitigen, die Wirkung prüfen und gezielt erhöhen. Leistungen sollen künftig möglichst pauschal abgerechnet werden. Dort wo es möglich ist, wollen wir Einzelanträge reduzieren und z. B. Schulen ermöglichen, gesammelte Anträge für die berechtigten Kinder diskriminierungsfrei zu stellen. Unter anderem soll hierzu das Schulstarterpaket aufgestockt werden. Die Eigenanteile zur gemeinschaftlichen Mittagsverpflegung in Kitas und Schulen und für Schülerbeförderung entfallen. Im Rahmen des bestehenden Teilhabepaketes soll allgemeine Lernförderung auch dann möglich sein, wenn die Versetzung nicht unmittelbar gefährdet ist.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Gerade für Kinder und Familien in belastenden Lebenssituationen kommen Erholung und Entspannung häufig zu kurz. Für sie wollen wir die Familienerholung am Bedarf orientiert weiterentwickeln. Einrichtungen des Müttergenesungswerks sollen sich für Väter und pflegende Angehörige weiter öffnen können.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 xml:space="preserve">Wir wollen die bestmögliche Betreuung für unsere Kinder und die bessere Vereinbarkeit von Familie und Beruf. Dazu unterstützen wir Länder und Kommunen weiterhin beim Ausbau des Angebots und bei der Steigerung der Qualität von Kinderbetreuungseinrichtungen und dem Angebot an Kindertagespflege sowie zusätzlich bei der Entlastung von Eltern bei den Gebühren bis hin zur Gebührenfreiheit. Dafür werden wir jährlich laufende Mittel zur Verfügung stellen (2019 0,5 Milliarden, 2020 eine Milliarde, 2021 zwei Milliarden Euro). Hierbei wollen wir sowohl die Vielfalt der Betreuungsangebote beibehalten als auch die Länderkompetenzen wahren. Die Beschlüsse der Jugend- und Familienministerkonferenz der Länder (JFMK) werden wir hierzu entsprechend umsetzen. Die von uns vereinbarten Ziele im Bereich der Kindertagesbetreuung und der Ganztagsbetreuung von Grundschulkindern sind nur umsetzbar, wenn die erforderlichen Fachkräfte zur Verfügung stehen. Deshalb sollen aus den Mitteln, die den Ländern zur Verfügung stehen, auch weitere Formen der berufsbegleitenden oder praxisintegrierten Ausbildung von Erzieherinnen und Erziehern gefördert werden können. Wir werden uns dafür stark machen, dass u. a. die Bundesprogramme Sprachkitas, KitaPlus, Betriebliche Kinderbetreuung und Kindertagespflege fortgeführt und weiterentwickelt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einen Rechtsanspruch auf Ganztagsbetreuung im Grundschulalter schaffen. Dabei werden wir auf Flexibilität achten, bedarfsgerecht vorgehen und die Vielfalt der in den Ländern und Kommunen bestehenden Betreuungsmöglichkeiten der Kinder- und Jugendhilfe und die schulischen Angebote berücksichtigen. Für die Ausgestaltung wollen wir das Sozialgesetzbuch VIII nutzen. Um diesen Rechtsanspruch bis 2025 zu verwirklichen, bedarf es konkreter rechtlicher, finanzieller und zeitlicher Umsetzungsschritte, die wir in einer Vereinbarung von Bund und Ländern unter Einbeziehung der kommunalen Spitzenverbände festlegen werden. Dabei wird der Bund sicherstellen, dass insbesondere der laufenden Kostenbelastung der Kommunen Rechnung getragen wird.</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Der Ausbau dient auch der besseren Vereinbarkeit von Familie und Beruf. Vereinbarkeit wollen wir zudem mit dem Unternehmensprogramm „Erfolgsfaktor Familie“ vorantreiben, mit dem wir uns gemeinsam mit unseren Partnern aus Wirtschaft und Gewerkschaften für eine familienfreundliche Arbeitswelt einsetzen.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Digitalisierung hilft Eltern, Familie und Beruf in Einklang zu bringen. Diese Chance für mobiles Arbeiten wollen wir nutzen.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Zusammenarbeit von Verantwortlichen aus Kommunen, Wirtschaft und Verbänden in lokalen Bündnissen für Familie wollen wir weiterführen.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dass Eltern und Kinder in einer Trennungsphase gut beraten und begleitet werden. Das Wohl der Kinder muss dabei im Zentrum stehen.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ungewollt kinderlose Paare besser unterstützen und dazu die Maßnahmen der Bundesinitiative „Hilfe und Unterstützung bei ungewollter Kinderlosigkeit“ unter Beibehaltung der bestehenden Förderkriterien fortführen. Wir wollen die Zuschüsse für Paare aus der Bundesinitiative in ganz Deutschland unabhängig davon gewähren, ob das jeweilige Bundesland sich an dem Programm beteiligt.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wollen ein modernes Adoptionswesen in Deutschland. Unser Ziel ist es, die Strukturen der Beratung und Vermittlung im Adoptionsvermittlungsverfahren zu verbessern.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Für die Integration von Familien mit Migrationshintergrund sind Mütter entscheidend. Deshalb müssen wir einen Fokus auf ihre Integration in Gesellschaft und Erwerbstätigkeit legen. Wir wollen daher das erfolgreiche Programm „Stark im Beruf“ fortsetzen.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respektieren geschlechtliche Vielfalt. Alle Menschen sollen unabhängig von ihrer sexuellen Identität frei und sicher leben können – mit gleichen Rechten und Pflichten. Homosexuellen- und Transfeindlichkeit verurteilen wir und wirken jeder Diskriminierung entgegen. Wir werden die Vorgaben des Bundesverfassungsgerichts hierzu umsetzen. Wir werden gesetzlich klarstellen, dass geschlechtsangleichende medizinische Eingriffe an Kindern nur in unaufschiebbaren Fällen und zur Abwendung von Lebensgefahr zulässig sind. </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7"/>
        </w:numPr>
        <w:contextualSpacing/>
        <w:rPr>
          <w:szCs w:val="24"/>
        </w:rPr>
      </w:pPr>
      <w:bookmarkStart w:id="6" w:name="_Toc505767143"/>
      <w:r>
        <w:rPr>
          <w:szCs w:val="24"/>
        </w:rPr>
        <w:t>Kinder stärken – Kinderrechte ins Grundgesetz</w:t>
      </w:r>
      <w:bookmarkEnd w:id="6"/>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Kinderrechte im Grundgesetz ausdrücklich verankern. Kinder sind Grundrechtsträger, ihre Rechte haben für uns Verfassungsrang. Wir werden ein Kindergrundrecht schaffen. Über die genaue Ausgestaltung sollen Bund und Länder in einer neuen gemeinsamen Arbeitsgruppe beraten und bis spätestens Ende 2019 einen Vorschlag vorlegen.</w:t>
      </w:r>
    </w:p>
    <w:p w:rsidR="007F452D" w:rsidRDefault="007F452D">
      <w:pPr>
        <w:spacing w:after="0" w:line="240" w:lineRule="auto"/>
        <w:contextualSpacing/>
        <w:jc w:val="both"/>
        <w:rPr>
          <w:rFonts w:ascii="Arial" w:hAnsi="Arial" w:cs="Arial"/>
          <w:sz w:val="24"/>
          <w:szCs w:val="24"/>
          <w:highlight w:val="yellow"/>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Kinderkommission des Deutschen Bundestages werden wir in ihrer Arbeit stärken.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Kinder und Jugendliche schützen und Familien unterstützen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Kinder- und Jugendhilfe weiterentwickeln, den Kinderschutz verbessern und die Familien unterstützen. Das bestehende Kinder- und Jugendhilfegesetz hat sich in seiner Grundausrichtung bewährt und hohe Akzeptanz erfahren. Gesellschaftliche Veränderungen und fachpolitische Erkenntnisse bringen es aber mit sich, dass es weiterentwickelt werden muss.</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 Kinder- und Jugendhilferecht auf Basis des in der letzten Legislaturperiode beschlossenen Kinder- und Jugendstärkungsgesetzes weiterentwickeln. Ziel muss ein wirksames Hilfesystem sein, das die Familie stärkt und Kinder vor Gefährdungen schützt. Das Kindeswohl ist dabei Richtschnur. Die Unterstützung und Stärkung der elterlichen Erziehungsverantwortung bleibt Anspruch und Auftrag der Jugendhilfe. Die enge Kooperation aller relevanten Akteure muss einen stärkeren Stellenwert einnehmen. Dazu gehört auch, dass im Interesse von fremduntergebrachten Kindern die Elternarbeit und die Qualifizierung und Unterstützung von Pflegeeltern gestärkt und gefördert werden. Ausgehend von den unterschiedlichen Bedarfen der Kinder und Jugendlichen und ihrer Eltern sollen die präventiven sozialräumlichen Angebote gestärkt werden. Die Verantwortung bleibt bei den Kommunen und Ländern.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Im Vorfeld einer Gesetzesinitiative werden wir einen breiten Dialog mit Akteuren aus Wissenschaft und Praxis der Kinder- und Jugendhilfe sowie der Behindertenhilfe und den Ländern und Kommunen führen. Darüber hinaus sollen Erfahrungen von Beteiligten und Betroffenen mit der Kinder- und Jugendhilfe sowie Familiengerichtsbarkeit </w:t>
      </w:r>
      <w:r>
        <w:rPr>
          <w:rFonts w:ascii="Arial" w:hAnsi="Arial" w:cs="Arial"/>
          <w:sz w:val="24"/>
          <w:szCs w:val="24"/>
        </w:rPr>
        <w:lastRenderedPageBreak/>
        <w:t>gesammelt und systematisch ausgewertet werden. Im Rahmen dieser unabhängigen wissenschaftlichen Begleitung sollen sich betroffene Eltern, Pflegeeltern, Kinder und andere vertraulich äußern können. Wir werden diese Auswertung mit Blick auf systemische und strukturelle Veränderungsbedarfe in das weitere Verfahren mit aufnehmen.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Qualitätsentwicklung und -sicherung sowie die Forschung im Bereich der Kinder- und Jugendhilfe, des Familienrechts und des Gutachterwesens voranbringen. Dazu wollen wir rechtlich verbindlich sicherstellen, dass auch Verfahrensbeistände über die erforderliche Qualifikation und Eignung verfügen und der begonnene Qualitätssicherungsprozess bei Gutachten, insbesondere im familiengerichtlichen Verfahren, in Zusammenarbeit mit den Berufsverbänden verbindlich ausgebaut wird. Von allen an familiengerichtlichen Verfahren beteiligten Berufsgruppen erwarten wir kontinuierliche Fortbildung in fachlicher und methodischer Hinsicht für ihre anspruchsvolle Tätigkeit und interdisziplinäre Zusammenarbeit.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Kinder sind keine kleinen Erwachsenen. Die Belange und Bedürfnisse von Kindern und Jugendlichen bedürfen der besonderen Berücksichtigung im Gesundheitssystem, in Medizin und Forschung.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Situation von Kindern psychisch kranker Eltern verbessern. Die Schnittstellenprobleme bei ihrer Unterstützung werden wir mit dem Ziel einer besseren Kooperation und Koordination der unterschiedlichen Hilfesysteme beseitigen.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Gerade die Jüngsten bedürfen des besonderen Schutzes durch Staat und Gesellschaft. Für junge Eltern in Problemlagen haben wir mit der Bundesstiftung „Frühe Hilfen“ ein Frühwarnsystem und Unterstützungsnetz etabliert. Dies wollen wir fortführen.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Gewalt jeglicher Art (auch seelische Gewalt), sexuellen Missbrauch und sexualisierte Gewalt gegen Kinder und Jugendliche werden wir konsequent bekämpfen. Dazu wollen wir die Forschung verbessern und die Verfahrensabläufe weiter optimieren.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Neben den wichtigen präventiven Maßnahmen auf allen Ebenen ist es für einen wirksamen Opferschutz unerlässlich, die konsequente Verfolgung pädokrimineller Täter, die im Netz aktiv sind, zu intensivieren. Sexualisierte Gewalt gegen Kinder im Netz soll härtere Konsequenzen nach sich ziehen, Schutzlücken müssen geschlossen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In familiengerichtlichen Verfahren muss bei Hinweisen auf (sexualisierte) Gewalt zur Einschätzung der Gefährdungslage eine Stellungnahme von Fachleuten für Gewaltschutz und – soweit relevant – der Rechtsmedizin eingeholt werden. Das Umgangsrecht darf dem Gewaltschutz nicht zuwiderlaufen.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die Stelle des/der Unabhängigen Beauftragten für Fragen des sexuellen Kindesmissbrauchs (UBSKM) einschließlich der wertvollen Arbeit des Betroffenenrats verstetigen.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Der Bund wird weiterhin seiner Verantwortung gegenüber den Betroffenen sexuellen Missbrauchs mit dem „Fonds Sexueller Missbrauch“ Rechnung tragen und darauf hinwirken, dass alle Länder ihren finanziellen Beitrag leisten.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werden weitere Maßnahmen gegen weibliche Genitalverstümmelung ergreifen.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Kinder- und Jugendmedienschutz</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digitalen Medien eröffnen für Kinder und Jugendliche viele Chancen. Gleichzeitig sind sie ständig und ortsunabhängig ansprechbar und dadurch massiven neuartigen Risiken ausgesetzt. Der Anstieg von Cybermobbing, Grooming und sexualisierter Gewalt, Suchtgefährdung und Anleitung zu Selbstgefährdung im Netz ist besorgniserregend. Zeitgemäßer Jugendmedienschutz muss den Schutz von Kindern und Jugendlichen vor gefährdenden Inhalten sicherstellen, den Schutz ihrer Persönlichkeitsrechte und ihrer Daten gewährleisten und die Instrumente zur Stärkung der Medienkompetenz weiterentwickeln. Daher werden wir einen zukunftsfähigen und kohärenten Rechtsrahmen – unter Berücksichtigung der kompetenzrechtlichen Zuständigkeiten der Länder – für den Kinder- und Jugendmedienschutz im Jugendmedienschutzstaatsvertrag und Jugendschutzgesetz schaffen.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dämmen Interaktionsrisiken ein (z. B. bei Chatfunktionen) und sorgen unter Wahrung der Kompetenzen der Länder für eine wirkungsvolle Durchsetzung des Kinder- und Jugendmedienschutzes auch gegenüber nicht in Deutschland ansässigen Angeboten.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Eigenständige Jugendpolitik</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Jugend ist eine eigenständige und prägende Lebensphase, in der es darum geht, selbstständig zu werden, sich zu qualifizieren und einen Platz in der Gesellschaft zu finden. Dafür wollen wir die eigenständige Jugendpolitik weiterführen und eine gemeinsame Jugendstrategie der Bundesregierung entwickeln.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Ziel soll sein, bei politischen Maßnahmen für jugendpolitische Belange zu sensibilisieren. Die Teilhabe von jungen Menschen wollen wir auf allen Ebenen stärken und weitere Beteiligungsformate unterstützen.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Jugendliche für Politik begeistern und die Akzeptanz unserer Demokratie stärken. Das gesellschaftliche und politische Engagement sowie die kulturelle Bildung junger Menschen sind für uns von großer Bedeutung. Hierzu wollen wir mehr Mittel zur Verfügung stellen.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Internationale Austausche vermitteln Sprachkenntnisse, fördern die interkulturelle Kompetenz und befähigen junge Menschen, sich in einer globalisierten Welt zu orientieren. Sich begegnen und einander zu verstehen sind wichtige Voraussetzungen für ein gutes Zusammenleben in Europa und weltweit. Deshalb wollen wir den internationalen Jugendaustausch weiter stärken, damit junge Menschen unabhängig von Herkunft und Bildung die Chance haben, an einem internationalen Jugendaustausch teilzunehmen. Wir wollen die internationale und europäische Jugendarbeit unterstützen und fortentwickeln und mit adäquaten Mitteln ausstatten.</w:t>
      </w:r>
    </w:p>
    <w:p w:rsidR="007F452D" w:rsidRDefault="007F452D">
      <w:pPr>
        <w:spacing w:after="0" w:line="240" w:lineRule="auto"/>
        <w:contextualSpacing/>
        <w:rPr>
          <w:rFonts w:ascii="Arial" w:hAnsi="Arial" w:cs="Arial"/>
          <w:b/>
          <w:sz w:val="24"/>
          <w:szCs w:val="24"/>
        </w:rPr>
      </w:pPr>
    </w:p>
    <w:p w:rsidR="007F452D" w:rsidRDefault="006007DF">
      <w:pPr>
        <w:pStyle w:val="berschrift2"/>
        <w:numPr>
          <w:ilvl w:val="1"/>
          <w:numId w:val="7"/>
        </w:numPr>
        <w:contextualSpacing/>
        <w:rPr>
          <w:szCs w:val="24"/>
        </w:rPr>
      </w:pPr>
      <w:bookmarkStart w:id="7" w:name="_Toc505767144"/>
      <w:r>
        <w:rPr>
          <w:szCs w:val="24"/>
        </w:rPr>
        <w:t>Gleichberechtigung von Frauen und Männern</w:t>
      </w:r>
      <w:bookmarkEnd w:id="7"/>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Gleichstellung von Frauen und Männern ist eine Frage der Gerechtigkeit. Sie ist Voraussetzung und Motor für nachhaltige Entwicklung und die Zukunftsfähigkeit unserer Gesellschaft, national und international.</w:t>
      </w:r>
    </w:p>
    <w:p w:rsidR="007F452D" w:rsidRDefault="007F452D">
      <w:pPr>
        <w:autoSpaceDE w:val="0"/>
        <w:autoSpaceDN w:val="0"/>
        <w:adjustRightInd w:val="0"/>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Für uns sind die tatsächliche Gleichstellung von Frauen und Männern, Förderung der Familienfreundlichkeit, die Werteordnung des Grundgesetzes und die von uns ratifi</w:t>
      </w:r>
      <w:r>
        <w:rPr>
          <w:rFonts w:ascii="Arial" w:hAnsi="Arial" w:cs="Arial"/>
          <w:sz w:val="24"/>
          <w:szCs w:val="24"/>
        </w:rPr>
        <w:lastRenderedPageBreak/>
        <w:t>zierten internationalen Vereinbarungen eine Verpflichtung, die sich durch die gesamte Regierungsarbeit ziehen muss. Wir haben in der vergangenen Wahlperiode viel erreicht. Daran knüpfen wir an. Wir wollen noch vorhandene strukturelle Hemmnisse abbauen und werden dazu eine ressortübergreifende Gleichstellungsstrategie entwickeln und mit einem Aktionsplan umsetzen.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Frauen sind in Führungspositionen noch immer unterrepräsentiert. Mit dem Gesetz für mehr Frauen in Führungspositionen haben wir in der vergangenen Legislaturperiode einen Meilenstein gesetzt. Diesen Weg werden wir weitergehen und bei der regelmäßigen Berichterstattung der Bundesregierung ein besonderes Augenmerk auf Unternehmen ohne Frauen in Führungspositionen legen, die sich eine Zielgröße „Null“ geben. Wir wollen die Wirksamkeit des Gesetzes verbessern, indem wir die Nichteinhaltung der Meldepflicht für Zielvorgaben für Vorstände und Führungsebenen und die Begründungspflicht bei der Angabe Zielvorgabe „Null“ sanktionieren entsprechend den Bestimmungen des § 335 Handelsgesetzbuch (HGB).</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Dem öffentlichen Dienst kommt für die Gleichstellung von Frauen und Männern eine Vorbildfunktion zu. Wir wollen daher die gleichberechtigte Teilhabe von Frauen und Männern in Leitungsfunktionen des öffentlichen Dienstes bis 2025 erreichen. Dazu werden wir dieses Ziel für den Geltungsbereich des Bundesgleichstellungsgesetzes festschreiben. Im Bundesgremienbesetzungsgesetz werden wir regeln, dass der Bund bereits für Gremien, für die er lediglich zwei Mitglieder zu bestimmen hat, die geltende Quotierungsregelung beachten soll.</w:t>
      </w:r>
      <w:r>
        <w:rPr>
          <w:rFonts w:ascii="Arial" w:hAnsi="Arial" w:cs="Arial"/>
          <w:sz w:val="24"/>
          <w:szCs w:val="24"/>
          <w:highlight w:val="yellow"/>
        </w:rPr>
        <w:t xml:space="preserve">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Gleichzeitig werden wir die Teilzeittätigkeit in Führungspositionen stärker als bisher ermöglichen. Bei der Feststellung von Kompetenzen im Rahmen dienstlicher Beurteilungen sind Erfahrungen und Fähigkeiten aus Erziehung und Pflege zu berücksichtigen.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highlight w:val="lightGray"/>
        </w:rPr>
      </w:pPr>
      <w:r>
        <w:rPr>
          <w:rFonts w:ascii="Arial" w:hAnsi="Arial" w:cs="Arial"/>
          <w:sz w:val="24"/>
          <w:szCs w:val="24"/>
        </w:rPr>
        <w:t>Wir wollen prüfen, wie eine Erweiterung des Geltungsbereichs des Gesetzes für die gleichberechtigte Teilhabe von Frauen und Männern an Führungspositionen in der Privatwirtschaft und im öffentlichen Dienst auf Unternehmen mit wesentlicher Bundesbeteiligung und Körperschaften des Öffentlichen Rechts auf Bundesebene umgesetzt werden kann.</w:t>
      </w:r>
      <w:r>
        <w:rPr>
          <w:rFonts w:ascii="Arial" w:hAnsi="Arial" w:cs="Arial"/>
          <w:sz w:val="24"/>
          <w:szCs w:val="24"/>
          <w:highlight w:val="lightGray"/>
        </w:rPr>
        <w:t xml:space="preserve"> </w:t>
      </w:r>
    </w:p>
    <w:p w:rsidR="007F452D" w:rsidRDefault="007F452D">
      <w:pPr>
        <w:spacing w:after="0" w:line="240" w:lineRule="auto"/>
        <w:contextualSpacing/>
        <w:jc w:val="both"/>
        <w:rPr>
          <w:rFonts w:ascii="Arial" w:hAnsi="Arial" w:cs="Arial"/>
          <w:sz w:val="24"/>
          <w:szCs w:val="24"/>
          <w:highlight w:val="lightGray"/>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Strukturelle Ungleichgewichte von Frauen auf dem Arbeitsmarkt, die zur Entgeltlücke wesentlich beitragen, wollen wir gezielt abbauen. Dazu wollen wir u. a. finanzielle Ausbildungshürden bei Sozial- und Pflegeberufen abbauen und streben Ausbildungsvergütungen an.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Beschäftigte in Unternehmen ab 200 Beschäftigten können seit dem 6. Januar 2018 erstmals einen individuellen Auskunftsanspruch geltend machen und Auskunft über die Entgeltstrukturen im Unternehmen verlangen. Für Betroffene wollen wir bei der Antidiskriminierungsstelle des Bundes gezielte Beratungs- und Unterstützungsangebote schaffen sowie zertifizierte Prüfverfahren für Unternehmen anbieten.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Juli 2019 ist eine erste Evaluation zur Wirksamkeit des Gesetzes durch die Bundesregierung vorzulegen. Dabei werden wir ein besonderes Augenmerk auf die Erfüllung der entsprechenden Berichtspflichten und Auskunftsansprüche legen. Auf Grundlage der ersten Erfahrungen ist über weitere erforderliche Schritte zu entscheiden.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Auch nach 100 Jahren Frauenwahlrecht gibt es noch keine gleichberechtigte politische Teilhabe von Frauen. Aktuell ist der Anteil von Frauen im Deutschen Bundestag zurückgegangen. Wir wollen, dass Frauen und Männer auch in Parlamenten auf allen Ebenen gleichberechtigt beteiligt sind und deshalb verstärkt Frauen für die politische Beteiligung gewinnen. Um eine höhere Repräsentanz von Frauen in der Politik zu erreichen und mehr Frauen den Weg in die Politik zu ebnen, werden wir bewährte politische Programme – wie das Helene-Weber-Kolleg und den Helene-Weber-Preis – verstetigen. Wir wollen eine Bundesstiftung gründen, die sich wissenschaftlich fundiert insbesondere Fragen der gerechten Partizipation von Frauen in Gesellschaft, Politik, Wirtschaft und Wissenschaft widmet.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Sexismus begegnet uns täglich und überall – in Medien und Kultur, in der Werbung, am Arbeitsplatz und in der Politik. Sexismus würdigt Menschen aufgrund ihres Geschlechts herab. In einer offenen, modernen und gleichberechtigten Gesellschaft hat Sexismus keinen Platz. Wir wollen Sexismus bekämpfen, Maßnahmen dagegen entwickeln und erfolgreiche Projekte fortführen.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gleichberechtigte Mitwirkung von Frauen bei der Prävention und Beilegung von Konflikten wird eine wichtige Rolle spielen.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Deutschland wird im Rahmen der EU-Ratspräsidentschaft und als Partner der </w:t>
      </w:r>
      <w:r>
        <w:rPr>
          <w:rFonts w:ascii="Arial" w:hAnsi="Arial" w:cs="Arial"/>
          <w:sz w:val="24"/>
          <w:szCs w:val="24"/>
        </w:rPr>
        <w:br/>
        <w:t xml:space="preserve">Triopräsidentschaft die Gleichstellung von Frauen und Männern in der EU weiter </w:t>
      </w:r>
      <w:r>
        <w:rPr>
          <w:rFonts w:ascii="Arial" w:hAnsi="Arial" w:cs="Arial"/>
          <w:sz w:val="24"/>
          <w:szCs w:val="24"/>
        </w:rPr>
        <w:br/>
        <w:t>vorantreiben und sichtbar machen.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verbessern die Vereinbarkeit von Familie und Beruf von erwerbstätigen Eltern, Alleinerziehenden, älteren Menschen und pflegenden Angehörigen durch Zuschüsse für die Inanspruchnahme von haushaltsnahen Dienstleistungen. Gleichzeitig fördern wir damit legale, sozialversicherungspflichtige Beschäftigung, insbesondere von Frauen.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Teilhabe von Frauen im ländlichen Raum befördern und sie wirtschaftlich stärken. Dabei wollen wir auch kleinere Familienbetriebe in den Blick nehmen.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Deutschen Digitalen Frauenarchiv wird derzeit die Geschichte der deutschen Frauenbewegung digitalisiert und verfügbar gemacht. Dies wollen wir verlässlich absichern.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Zeitgemäße Gleichstellungspolitik nimmt auch Jungen und Männer in den Blick. Auch sie müssen sich auf gesellschaftliche Entwicklungen und neue Anforderungen einstellen. Dies wollen wir politisch unterstützen. </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7"/>
        </w:numPr>
        <w:contextualSpacing/>
        <w:rPr>
          <w:szCs w:val="24"/>
        </w:rPr>
      </w:pPr>
      <w:bookmarkStart w:id="8" w:name="_Toc505767145"/>
      <w:r>
        <w:rPr>
          <w:szCs w:val="24"/>
        </w:rPr>
        <w:t>Bekämpfung von Gewalt gegenüber Frauen und ihren Kindern</w:t>
      </w:r>
      <w:bookmarkEnd w:id="8"/>
      <w:r>
        <w:rPr>
          <w:szCs w:val="24"/>
        </w:rPr>
        <w:t xml:space="preserve">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Verpflichtungen aus der Istanbul-Konvention umsetzen und dazu ein Aktionsprogramm zur Prävention und Unterstützung </w:t>
      </w:r>
      <w:r w:rsidR="00501DC6">
        <w:rPr>
          <w:rFonts w:ascii="Arial" w:hAnsi="Arial" w:cs="Arial"/>
          <w:sz w:val="24"/>
          <w:szCs w:val="24"/>
        </w:rPr>
        <w:t xml:space="preserve">für </w:t>
      </w:r>
      <w:r>
        <w:rPr>
          <w:rFonts w:ascii="Arial" w:hAnsi="Arial" w:cs="Arial"/>
          <w:sz w:val="24"/>
          <w:szCs w:val="24"/>
        </w:rPr>
        <w:t>von Gewalt betroffene Frauen und Kinder auflegen und die Hilfestrukturen verbessern. Um von Gewalt betroffenen Frauen und Kindern den gesicherten Zugang zu Schutz und Beratung in Frauenhäusern zu ermöglichen, werden wir einen Runden Tisch von Bund, Ländern und Kommunen einberufen. Ziel der Beratungen ist der bedarfsgerechte Ausbau und die adäquate finanzielle Absicherung der Arbeit von Frauenhäusern und entsprechenden ambulanten Hilfs- und Betreuungsmaßnahmen. Wir wollen in diesem Zusammenhang, ein Investitions-, Innovations- und Sanierungsprogramm auflegen, Weiterquali</w:t>
      </w:r>
      <w:r>
        <w:rPr>
          <w:rFonts w:ascii="Arial" w:hAnsi="Arial" w:cs="Arial"/>
          <w:sz w:val="24"/>
          <w:szCs w:val="24"/>
        </w:rPr>
        <w:lastRenderedPageBreak/>
        <w:t>fizierungsmaßnahmen und Schulungen für Mitarbeiterinnen und Mitarbeiter unterstützen und spezifische psychosoziale Hilfen für traumatisierte Kinder und Frauen sicherstellen.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für die betroffenen Frauen den Zugang zu ermöglichen und ihnen bei der Tragung der Unterbringungskosten zu helfen, werden wir prüfen, ob und inwieweit analog zum Unterhaltsvorschussgesetz eine vorläufige Übernahme der Kosten bei gleichzeitigem Übergang der Unterhaltsforderung auf den Kostenträger verankert werden kann.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 bundesweite Hilfetelefon für von Gewalt betroffene Frauen ausbauen, besser bewerben und die Online-Beratungsangebote erweitern. Die anonymisierte Beweissicherung bei Gewalt- und Missbrauchsfällen werden wir in ganz Deutschland ermöglichen.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prüfen, welche weiteren Maßnahmen im Bereich Gewaltschutz von Frauen erforderlich sind.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eine bundesweite Öffentlichkeitskampagne zur Ächtung von Gewalt gegen Frauen sowie zur Sensibilisierung und Information der breiten Öffentlichkeit zu Hilfe, Unterstützung und Handlungsmöglichkeiten dagegen durchführen.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Darüber hinaus wollen wir Sensibilisierungsmaßnahmen für Unternehmen und öffentliche Arbeitgeberinnen und Arbeitgeber entwickeln und mit den beteiligten Akteuren eine gemeinsame Strategie gegen sexuelle Belästigung am Arbeitsplatz erarbeiten.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Gegen Menschenhandel muss entschieden vorgegangen werden, deshalb wollen wir die Strukturen zur Bekämpfung des Menschenhandels und zur Unterstützung der Opfer stärken.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7"/>
        </w:numPr>
        <w:contextualSpacing/>
        <w:rPr>
          <w:szCs w:val="24"/>
        </w:rPr>
      </w:pPr>
      <w:bookmarkStart w:id="9" w:name="_Toc505767146"/>
      <w:r>
        <w:rPr>
          <w:szCs w:val="24"/>
        </w:rPr>
        <w:t>Seniorinnen und Senioren</w:t>
      </w:r>
      <w:bookmarkEnd w:id="9"/>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Noch nie sind Menschen so gesund wie heute alt geworden. Nach dem Erwerbsleben liegt meist ein langer Lebensabschnitt mit guter Lebensqualität vor ihnen. Sie unterstützen ihre Kinder und Enkelkinder. Sie engagieren sich in Vereinen, Verbänden und Nachbarschaften.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Auf die Beiträge und Potenziale, die ältere Menschen für unsere Gesellschaft leisten, können, dürfen und wollen wir nicht verzichten. Ihre Lebenserfahrung und ihr Rat sind wichtig. Sie sollen möglichst lange gesund und aktiv bleiben, am gesellschaftlichen und kulturellen Leben teilhaben und selbstbestimmt in Würde alt werden können. Dabei helfen wir auch denjenigen, die unsere besondere Unterstützung brauchen. Wir wirken Altersdiskriminierung entschieden entgegen.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die Kommunen bei der Bewältigung des demografischen Wandels nachhaltig unterstützen und die Menschen in den Mittelpunkt stellen. Die Rahmenbedingungen vor Ort wie auch auf Bundesebene wollen wir weiter verbessern und Vereinsamung entgegenwirken.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Das bedeutet vor allem eine gute Infrastruktur in unseren Kommunen und den Aufbau eines seniorengerechten Wohnumfelds und einer entsprechenden Nachbarschaft. Wir setzen auf einen weiteren Ausbau unterschiedlicher und ortsnaher Bera</w:t>
      </w:r>
      <w:r>
        <w:rPr>
          <w:rFonts w:ascii="Arial" w:hAnsi="Arial" w:cs="Arial"/>
          <w:sz w:val="24"/>
          <w:szCs w:val="24"/>
        </w:rPr>
        <w:lastRenderedPageBreak/>
        <w:t>tungs-, Bildungs- und Unterstützungsangebote sowie unterschiedlicher Wohnformen, um den vielfältigen Bedürfnissen und Wünschen älterer Menschen gerecht zu werden und die Selbstbestimmung im Alter zu ermöglichen. Dazu wollen wir das bewährte Programm „Demografiewerkstatt Kommune“ ausbauen. Wir wollen Hürden beim Ausbau alternativer Unterstützungs- und Wohnformen – wie z. B. bei der steuerrechtlichen Bewertung von „Wohnen für Hilfe“ – beseitigen und Seniorengenossenschaften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Mehrgenerationenhäuser stellen bundesweit, besonders für den ländlichen Raum, eine unverzichtbare soziale Infrastruktur dar und leisten damit einen wichtigen Beitrag zum generationenübergreifenden Dialog und zur Herstellung gleichwertiger Lebensverhältnisse. Wir wollen sie absichern und weiter ausbauen, insbesondere im ländlichen Raum.</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lassen ältere Menschen bei der Digitalisierung nicht allein. Der Zugang zu digitalen Medien, die Nutzung der Potenziale der Digitalisierung und lebensbegleitendes Lernen sind für ältere Menschen eine wichtige Voraussetzung dafür, möglichst lange aktiv zu bleiben. Deshalb ist eine Weiterbildung auch im Rahmen der Digitalisierung für die Älteren unverzichtbar.</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den Bundesaltenplan zusammen mit den Seniorenorganisationen weiterentwickeln und ausbauen.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Menschen mit psychischen Erkrankungen oder Demenz und ihre Angehörigen benötigen neben guter medizinischer Versorgung vor allem soziale Anbindung. Wir werden die Agenda „Gemeinsam für Menschen mit Demenz“ zusammen mit den Bundesländern, allen relevanten Akteuren und unter Einbezug von Menschen mit Demenz weiterentwickeln.</w:t>
      </w:r>
      <w:r>
        <w:rPr>
          <w:rFonts w:ascii="Arial" w:hAnsi="Arial" w:cs="Arial"/>
          <w:sz w:val="24"/>
          <w:szCs w:val="24"/>
        </w:rPr>
        <w:br w:type="page"/>
      </w:r>
    </w:p>
    <w:p w:rsidR="007F452D" w:rsidRDefault="006007DF">
      <w:pPr>
        <w:pStyle w:val="berschrift1"/>
        <w:numPr>
          <w:ilvl w:val="0"/>
          <w:numId w:val="8"/>
        </w:numPr>
        <w:ind w:left="426" w:hanging="142"/>
        <w:contextualSpacing/>
      </w:pPr>
      <w:bookmarkStart w:id="10" w:name="_Toc505767147"/>
      <w:r>
        <w:lastRenderedPageBreak/>
        <w:t>Offensive für Bildung, Forschung und Digitalisierung</w:t>
      </w:r>
      <w:bookmarkEnd w:id="10"/>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Bildung, Wissenschaft und Forschung sind die Schlüsselthemen für Deutschlands Zukunft. Es gilt, technologische, wissenschaftliche und soziale Innovationen zu fördern, gerechte Bildungschancen für alle zu gewährleisten und ein hohes Qualifikationsniveau zu sichern. Die Freiheit der Wissenschaft ist für uns konstitutiv. Für das Chancenland Deutschland wollen wir zusätzliche Mittel mobilisieren. Dabei sind folgende Projekte wichtig:</w:t>
      </w:r>
    </w:p>
    <w:p w:rsidR="007F452D" w:rsidRDefault="007F452D">
      <w:pPr>
        <w:pStyle w:val="NurText"/>
        <w:contextualSpacing/>
        <w:jc w:val="both"/>
        <w:rPr>
          <w:rFonts w:ascii="Arial" w:hAnsi="Arial" w:cs="Arial"/>
          <w:sz w:val="24"/>
          <w:szCs w:val="24"/>
        </w:rPr>
      </w:pPr>
    </w:p>
    <w:p w:rsidR="007F452D" w:rsidRDefault="006007DF">
      <w:pPr>
        <w:pStyle w:val="berschrift2"/>
        <w:numPr>
          <w:ilvl w:val="1"/>
          <w:numId w:val="9"/>
        </w:numPr>
        <w:contextualSpacing/>
        <w:rPr>
          <w:szCs w:val="24"/>
        </w:rPr>
      </w:pPr>
      <w:bookmarkStart w:id="11" w:name="_Toc505767148"/>
      <w:r>
        <w:rPr>
          <w:szCs w:val="24"/>
        </w:rPr>
        <w:t>Allgemeine Bildung und Schulen</w:t>
      </w:r>
      <w:bookmarkEnd w:id="11"/>
    </w:p>
    <w:p w:rsidR="007F452D" w:rsidRDefault="006007DF">
      <w:pPr>
        <w:pStyle w:val="NurText"/>
        <w:contextualSpacing/>
        <w:jc w:val="both"/>
        <w:rPr>
          <w:rFonts w:ascii="Arial" w:hAnsi="Arial" w:cs="Arial"/>
          <w:sz w:val="24"/>
          <w:szCs w:val="24"/>
        </w:rPr>
      </w:pPr>
      <w:r>
        <w:rPr>
          <w:rFonts w:ascii="Arial" w:hAnsi="Arial" w:cs="Arial"/>
          <w:sz w:val="24"/>
          <w:szCs w:val="24"/>
        </w:rPr>
        <w:t xml:space="preserve">Wir wollen die Bildungschancen in Deutschland im gemeinsamen Schulterschluss von Bund und Ländern verbessern. Dafür wollen wir nach dem Vorbild des Wissenschaftsrates einen Nationalen Bildungsrat einrichten. Der Nationale Bildungsrat soll auf Grundlage der empirischen Bildungs- und Wissenschaftsforschung Vorschläge für mehr Transparenz, Qualität und Vergleichbarkeit im Bildungswesen vorlegen und dazu beitragen, sich über die zukünftigen Ziele und Entwicklungen im Bildungswesen zu verständigen und die Zusammenarbeit der beteiligten politischen Ebenen bei der Gestaltung der Bildungsangebote über die ganze Bildungsbiographie hinweg zu fördern. Über Mandatierung, Zusammensetzung, institutionelle Anbindung und Ausstattung des Nationalen Bildungsrates entscheiden Bund und Länder gemeinsam. </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Zur Verbesserung der Bildung werden wir eine Investitionsoffensive für Schulen auf den Weg bringen. Diese umfasst zusätzlich zum laufenden Schulsanierungsprogramm die Unterstützung der Länder bei ihren Investitionen in die Bildungsinfrastruktur, insbesondere Ganztagsschul- und Betreuungsangebote, Digitalisierung und berufliche Schulen. Dazu werden wir die erforderliche Rechtsgrundlage in Art. 104c Grundgesetz (GG) durch die Streichung des Begriffs „finanzschwache“ in Bezug auf die Kommunen anpassen. Die Kultushoheit bleibt Kompetenz der Länder.</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 xml:space="preserve">Wir werden ganztägige Bildungs- und Betreuungsangebote für alle Schülerinnen und Schüler im Grundschulalter ermöglichen. Wir werden deshalb einen Rechtsanspruch auf Ganztagsbetreuung für alle Kinder im Grundschulalter schaffen. Dafür werden wir gemeinsam mit den Ländern die Angebote so ausbauen, dass der Rechtsanspruch im Jahre 2025 erfüllt werden kann. Der Bund stellt für Investitionen in Ganztagsschul- und Betreuungsangebote zwei Milliarden Euro zur Verfügung. Bei der Umsetzung des Rechtsanspruchs werden wir auf Flexibilität achten, bedarfsgerecht vorgehen und die Vielfalt der in den Ländern und Kommunen bestehenden Betreuungsmöglichkeiten der Kinder- und Jugendhilfe und die schulischen Angebote berücksichtigen und darauf aufbauen. Für die Ausgestaltung wollen wir das Sozialgesetzbuch (SGB) VIII nutzen. Um diesen Rechtsanspruch bis 2025 zu verwirklichen, bedarf es konkreter rechtlicher, finanzieller und zeitlicher Umsetzungsschritte, die wir in einer Vereinbarung von Bund und Ländern unter Einbeziehung der kommunalen Spitzenverbände festlegen werden. Dabei wird der Bund sicherstellen, dass insbesondere der laufenden Kostenbelastung der Kommunen Rechnung getragen wird. </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 xml:space="preserve">Wir wollen Schülerinnen und Schüler besser auf das Leben und Arbeiten in der digitalen Welt vorbereiten und zugleich das Lernen in der Schule verbessern und modernisieren. Deshalb werden wir unsere Schulen im Rahmen des gemeinsamen Digitalpakts Schule von Bund und Ländern so ausstatten, dass die Schülerinnen und Schüler in allen Fächern und Lernbereichen eine digitale Lernumgebung nutzen können, um die notwendigen Kompetenzen in der digitalen Welt zu erwerben. Bund, </w:t>
      </w:r>
      <w:r>
        <w:rPr>
          <w:rFonts w:ascii="Arial" w:hAnsi="Arial" w:cs="Arial"/>
          <w:sz w:val="24"/>
          <w:szCs w:val="24"/>
        </w:rPr>
        <w:lastRenderedPageBreak/>
        <w:t>Länder und Schulträger werden gemeinsam die erforderliche IT-Infrastruktur und die für digitales Lernen erforderlichen Technologien aufbauen. Ausgangspunkte für die Gestaltung des Digitalpakts Schule sind die digitalen Bildungsstrategien von Bund und Ländern sowie der bereits vorliegende Eckpunkteentwurf einer Bund-Länder-Vereinbarung. In diesem Zusammenhang wollen wir auch eine gemeinsame Cloud-Lösung für Schulen schaffen. Der Bund stellt für diese Aufgaben fünf Milliarden Euro in fünf Jahren zur Verfügung, davon 3,5 Milliarden Euro in dieser Legislaturperiode, die die Länder- und Kommunalinvestitionen ergänzen, nicht ersetzen.</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Die Vergabe der Bundesmittel wird an einvernehmlich mit den Ländern vereinbarte Bedingungen gebunden, insbesondere werden die Länder die erforderliche Qualifikation der Lehrkräfte sicherstellen, die Bildungs- und Lehrpläne aller Bildungsgänge im Sinne des Kompetenzrahmens der Kultusministerkonferenz (einschließlich Medienkompetenz) überprüfen und weiterentwickeln sowie dafür Sorge tragen, dass Betrieb, Wartung und Interoperabilität der Infrastrukturen durch die Antragsteller sichergestellt werden. Über den Fortschritt der Investitionsoffensive und die Zielerreichung werden Bund und Länder regelmäßig berichten.</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Nach dem Vorbild der gemeinsamen Initiative zur Förderung leistungsstarker und leistungsfähiger Schülerinnen und Schüler wollen wir gemeinsam mit den Ländern die besonderen Herausforderungen von Schulen in benachteiligten sozialen Lagen und mit besonderen Aufgaben der Integration aufgreifen. Der Bund sorgt dabei für die Förderung der begleitenden Forschung sowie die Evaluierung der Wirksamkeit der getroffenen Maßnahmen. Die Länder sorgen für die Begleitung und Förderung der teilnehmenden Schulen.</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Mit der Investitionsoffensive Schule und dem Digitalpakt Schule tragen wir auch zur inklusiven Bildung bei. In der Bildungsforschung soll die inklusive Bildung entlang der gesamten Bildungsbiographie zu einem Schwerpunkt gemacht werden.</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Weitere Schwerpunkte in der Bildungsforschung sollen bei der Qualitätsverbesserung des Unterrichts, der Digitalisierung, der sozialen Integration und dem Abbau von Bildungsbarrieren liegen.</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Wir wollen die kulturelle Bildung durch das Programm „Kultur macht stark“ weiter fördern und ausbauen. Die Zusammenarbeit bei der kulturellen Bildung von schulischem und außerschulischem Raum ist zu verstärken. Außerdem wollen wir die Förderung der Bildung für nachhaltige Entwicklung intensivieren.</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Wir wollen die MINT-Bildung stärken, beginnend mit der Elementarbildung über die Initiative „Haus der Kleinen Forscher“. Die Potenziale von Mädchen und Frauen wollen wir besonders fördern. Wir unterstützen den Aufbau eines bundesweiten MINT-E-Portals für mehr Transparenz und Information sowie die Entwicklung von Qualitätskriterien. Zudem wollen wir Wettbewerbe im MINT-Bereich weiter fördern.</w:t>
      </w:r>
    </w:p>
    <w:p w:rsidR="007F452D" w:rsidRDefault="007F452D">
      <w:pPr>
        <w:pStyle w:val="NurText"/>
        <w:contextualSpacing/>
        <w:jc w:val="both"/>
        <w:rPr>
          <w:rFonts w:ascii="Arial" w:hAnsi="Arial" w:cs="Arial"/>
          <w:sz w:val="24"/>
          <w:szCs w:val="24"/>
        </w:rPr>
      </w:pPr>
    </w:p>
    <w:p w:rsidR="007F452D" w:rsidRDefault="006007DF">
      <w:pPr>
        <w:pStyle w:val="berschrift2"/>
        <w:numPr>
          <w:ilvl w:val="1"/>
          <w:numId w:val="9"/>
        </w:numPr>
        <w:contextualSpacing/>
        <w:rPr>
          <w:szCs w:val="24"/>
        </w:rPr>
      </w:pPr>
      <w:bookmarkStart w:id="12" w:name="_Toc505767149"/>
      <w:r>
        <w:rPr>
          <w:szCs w:val="24"/>
        </w:rPr>
        <w:t>Berufliche Bildung und Weiterbildung</w:t>
      </w:r>
      <w:bookmarkEnd w:id="12"/>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berufliche Bildung in Deutschland ist ein Erfolgsmodell. Für die Unternehmen ist sie zur Sicherung des Fachkräftebedarfs unverzichtbar. Für die Jugendlichen schafft sie verlässlich gute Chancen für eine erfolgreiche berufliche Laufbahn. Auch deshalb haben junge Menschen bei uns das geringste Arbeitslosenrisiko im europäischen </w:t>
      </w:r>
      <w:r>
        <w:rPr>
          <w:rFonts w:ascii="Arial" w:hAnsi="Arial" w:cs="Arial"/>
          <w:sz w:val="24"/>
          <w:szCs w:val="24"/>
        </w:rPr>
        <w:lastRenderedPageBreak/>
        <w:t>Vergleich. Wir steigern die Attraktivität der beruflichen Bildung, sie ist für uns gleichwertig mit der akademischen Bildung.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Den Transformationsprozess in der Arbeitswelt wollen wir zum Nutzen aller gestalten. Insbesondere die berufliche Aus- und Weiterbildung muss mit der wachsenden Dynamik veränderter Qualifikationsanforderungen Schritt halten und langfristig den Qualifizierungsbedarf der Wirtschaft und des öffentlichen Bereichs decken.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Die berufliche Bildung werden wir mit einem Berufsbildungspakt modernisieren und stärken. Dazu gehören im Rahmen der Investitionsoffensive für Schulen nach Art. 104c Grundgesetz (GG) eine Ausstattungsoffensive für berufliche Schulen vor dem Hintergrund der Digitalisierung.</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Im Rahmen der Novelle des Berufsbildungsgesetzes (BBiG) werden wir eine Mindestausbildungsvergütung im Berufsbildungsgesetz verankern. Das Gesetz soll bis zum 1. August 2019 beschlossen werden und zum 1. Januar 2020 in Kraft treten. In diesem Rahmen wollen wir die Modernisierung der Ausbildungs- und Aufstiegsordnungen u. a. im Hinblick auf eine digitale Ausbildungsstrategie sowie eine Verbesserung der Rahmenbedingungen erreichen.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Wir wollen die Berufsorientierung im Zusammenwirken von Bund und Ländern an allen allgemeinbildenden Schulen der Sekundarstufe weiter stärken, auch an allen Gymnasien.</w:t>
      </w:r>
      <w:r>
        <w:rPr>
          <w:rFonts w:ascii="Arial" w:hAnsi="Arial" w:cs="Arial"/>
          <w:sz w:val="24"/>
          <w:szCs w:val="24"/>
        </w:rPr>
        <w:t xml:space="preserve"> In Zusammenarbeit mit den Ländern wollen wir sie durch qualitativ hochwertige Angebote ausbauen und in gemeinsamen Vereinbarungen mit den Ländern verankern. </w:t>
      </w:r>
      <w:r>
        <w:rPr>
          <w:rFonts w:ascii="Arial" w:eastAsia="Arial" w:hAnsi="Arial" w:cs="Arial"/>
          <w:sz w:val="24"/>
          <w:szCs w:val="24"/>
        </w:rPr>
        <w:t>Darüber hinaus wollen wir die erfolgreiche Arbeit der Jugendberufsagenturen ausweiten.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hAnsi="Arial" w:cs="Arial"/>
          <w:sz w:val="24"/>
          <w:szCs w:val="24"/>
        </w:rPr>
        <w:t>Wir wollen zudem die „Initiative Berufsbildung 4.0“ ausbauen, die Weiterbildung von Ausbilderinnen und Ausbildern stärken sowie das Sonderprogramm zur Digitalisierung überbetrieblicher Berufsbildungsstätten (ÜBS) ausweiten.</w:t>
      </w:r>
      <w:r>
        <w:rPr>
          <w:rFonts w:ascii="Arial" w:hAnsi="Arial" w:cs="Arial"/>
          <w:i/>
          <w:sz w:val="24"/>
          <w:szCs w:val="24"/>
        </w:rPr>
        <w:t xml:space="preserve"> </w:t>
      </w:r>
      <w:r>
        <w:rPr>
          <w:rFonts w:ascii="Arial" w:eastAsia="Arial" w:hAnsi="Arial" w:cs="Arial"/>
          <w:sz w:val="24"/>
          <w:szCs w:val="24"/>
        </w:rPr>
        <w:t xml:space="preserve">Wir wollen Hilfen für stärkere und schwächere Jugendliche fortentwickeln und wollen mehr Betriebe für die Ausbildung gewinnen, besonders auch Klein- und Kleinstbetriebe. </w:t>
      </w:r>
      <w:r>
        <w:rPr>
          <w:rFonts w:ascii="Arial" w:hAnsi="Arial" w:cs="Arial"/>
          <w:sz w:val="24"/>
          <w:szCs w:val="24"/>
        </w:rPr>
        <w:t xml:space="preserve">Wir wollen Probleme bei der Passgenauigkeit auf dem Ausbildungsmarkt insbesondere durch verbesserte </w:t>
      </w:r>
      <w:r>
        <w:rPr>
          <w:rFonts w:ascii="Arial" w:eastAsia="Arial" w:hAnsi="Arial" w:cs="Arial"/>
          <w:sz w:val="24"/>
          <w:szCs w:val="24"/>
        </w:rPr>
        <w:t>Mobilitätshilfen reduzieren. Wir stärken regionale Ausbildungsmärkte außerdem durch die Mobilisierung der Akteure vor Ort durch Wettbewerbe. Die Attraktivität von Berufslaufbahnen erhöhen wir auch mit einem Innovationswettbewerb in der beruflichen Bildung.</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Wir werden mit dem Aufstiegsfortbildungsförderungsgesetz </w:t>
      </w:r>
      <w:r>
        <w:rPr>
          <w:rFonts w:ascii="Arial" w:hAnsi="Arial" w:cs="Arial"/>
          <w:sz w:val="24"/>
          <w:szCs w:val="24"/>
        </w:rPr>
        <w:t>(„Aufstiegs-BAföG“)</w:t>
      </w:r>
      <w:r>
        <w:rPr>
          <w:rFonts w:ascii="Arial" w:hAnsi="Arial" w:cs="Arial"/>
          <w:i/>
          <w:sz w:val="24"/>
          <w:szCs w:val="24"/>
        </w:rPr>
        <w:t xml:space="preserve"> </w:t>
      </w:r>
      <w:r>
        <w:rPr>
          <w:rFonts w:ascii="Arial" w:eastAsia="Arial" w:hAnsi="Arial" w:cs="Arial"/>
          <w:sz w:val="24"/>
          <w:szCs w:val="24"/>
        </w:rPr>
        <w:t xml:space="preserve">finanzielle Hürden für den beruflichen Aufstieg abbauen mit dem Ziel einer weiteren deutlichen Verbesserung beim Unterhaltszuschuss, Erfolgsbonus und bei der Familienfreundlichkeit. Darüber hinaus werden wir den Maßnahmenzuschuss erhöhen. Damit leisten wir einen weiteren Beitrag, um finanzielle Hürden für angehende Technikerinnen und Techniker, Meisterinnen und Meister sowie Fachwirtinnen und Fachwirte im Sinne der vollständigen Gebührenfreiheit zu beseitigen. </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Wir schaffen transparente berufliche Fortbildungsstufen und stellen Aufsteigerinnen und Aufsteiger auf allen drei Stufen ein finanzielles Förderangebot zur Verfügung. Zudem wollen wir innovative Qualifizierungswege wie die höhere Berufsbildung und das duale Studium stärken, indem wir hochschulisches und berufsbildendes Lernen in gemeinsamen Qualifizierungsangeboten zusammenführen und so die Übergänge </w:t>
      </w:r>
      <w:r>
        <w:rPr>
          <w:rFonts w:ascii="Arial" w:eastAsia="Arial" w:hAnsi="Arial" w:cs="Arial"/>
          <w:sz w:val="24"/>
          <w:szCs w:val="24"/>
        </w:rPr>
        <w:lastRenderedPageBreak/>
        <w:t>zwischen der beruflichen und der akademischen Bildung besser gestalten. Die Durchlässigkeit und Synergien zwischen beruflicher und akademischer Bildung in beide Richtungen wollen wir fördern, um die Ausbildung zu verbessern und Ausbildungszeiten effizienter zu nutzen. Hierzu wollen wir die Anzahl der Aufstiegs- und Weiterbildungsstipendien steigern.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Wir wollen die Aus- und Weiterbildung in Sozial- und Pflegeberufen attraktiver machen und mehr junge Menschen für dieses Berufsbild gewinnen, um Fachkräfte zu sichern. Deshalb werden wir auch hier finanzielle Ausbildungshürden abbauen und Ausbildungsvergütungen anstreben.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Wir wollen die Allianz für Aus- und Weiterbildung fortsetzen und mit dem Ziel weiterentwickeln, allen jungen Menschen einen qualitativ hochwertigen Ausbildungsplatz garantiert anzubieten. Die assistierte Ausbildung, bei der neben den Jugendlichen auch Eltern, Schulen und Unternehmen unterstützt werden, wollen wir bundesweit ausbauen. Gleichzeitig wollen wir das Instrument der ausbildungsbegleitenden Hilfen stärken, um so Unterstützung bei Lernschwierigkeiten oder bei Problemen im sozialen Umfeld zu ermöglichen. Wir drängen weiter auf die bundesweite ausbildungsfreundliche Umsetzung der wichtigen 3+2-Regelung für den Arbeitsmarktzugang gemäß § 60a Aufenthaltsgesetz.</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Die internationale Mobilität von Auszubildenden der beruflichen Bildung wollen wir ausbauen und besser fördern.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Um die Vereinbarkeit von Familie und Beruf zu fördern und mehr Menschen die Ausbildung zu ermöglichen, wollen wir eine Initiative zur stärkeren Nutzung der Teilzeitausbildung starten. </w:t>
      </w:r>
    </w:p>
    <w:p w:rsidR="007F452D" w:rsidRDefault="007F452D">
      <w:pPr>
        <w:spacing w:after="0" w:line="240" w:lineRule="auto"/>
        <w:contextualSpacing/>
        <w:jc w:val="both"/>
        <w:rPr>
          <w:rFonts w:ascii="Arial" w:eastAsia="Arial" w:hAnsi="Arial" w:cs="Arial"/>
          <w:i/>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Außerdem wollen wir die qualifikationsadäquate Beschäftigung von Menschen mit ausländischen Berufsabschlüssen weiter fördern. Die Informations-, Beratungs- und Unterstützungsangebote zum Anerkennungsgesetz wollen wir weiterentwickeln und den Anerkennungszuschuss ausbauen. </w:t>
      </w:r>
    </w:p>
    <w:p w:rsidR="007F452D" w:rsidRDefault="007F452D">
      <w:pPr>
        <w:spacing w:after="0" w:line="240" w:lineRule="auto"/>
        <w:contextualSpacing/>
        <w:jc w:val="both"/>
        <w:rPr>
          <w:rFonts w:ascii="Arial" w:eastAsia="Arial" w:hAnsi="Arial" w:cs="Arial"/>
          <w:i/>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 ein Grund für schlechte Chancen auf dem Arbeitsmarkt mangelnde Grundbildung ist, wollen wir die nationale Dekade für Alphabetisierung ausbauen und insbesondere die arbeitsplatz- und familienorientierte Grundbildung in den Blick nehmen.</w:t>
      </w:r>
    </w:p>
    <w:p w:rsidR="007F452D" w:rsidRDefault="007F452D">
      <w:pPr>
        <w:spacing w:after="0" w:line="240" w:lineRule="auto"/>
        <w:contextualSpacing/>
        <w:jc w:val="both"/>
        <w:rPr>
          <w:rFonts w:ascii="Arial" w:eastAsia="Arial" w:hAnsi="Arial" w:cs="Arial"/>
          <w:i/>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Menschen müssen in jedem Alter und in jeder Lebenslage die Chance haben, am digitalen Wandel teilzuhaben, digitale Medien für ihr persönliches Lernen und ihre Bildung zu nutzen und Medienkompetenz zu erwerben. Wir wollen die Entwicklung von attraktiven, niedrigschwelligen Lernangeboten fördern, vor allem im Bereich der Volkshochschulen, und die Qualitätssicherung in der digitalen Weiterbildung durch Bildungsforschung unterstützen.</w:t>
      </w:r>
    </w:p>
    <w:p w:rsidR="007F452D" w:rsidRDefault="007F452D">
      <w:pPr>
        <w:spacing w:after="0" w:line="240" w:lineRule="auto"/>
        <w:contextualSpacing/>
        <w:jc w:val="both"/>
        <w:rPr>
          <w:rFonts w:ascii="Arial" w:eastAsia="Arial" w:hAnsi="Arial" w:cs="Arial"/>
          <w:i/>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Aufgrund der Bedeutung für Wirtschaft und Gesellschaft werden wir eine Enquete-Kommission des Deutschen Bundestags zur „Stärkung der beruflichen Bildung zur Sicherung des Fachkräftebedarfs“ einrichten.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Neben dem Ausbau der individuellen Förderinstrumente für den beruflichen Aufstieg wie das Aufstiegs-BAföG, die Bildungsprämie sowie die Stipendienprogramme für beruflich Qualifizierte (Aufstiegs- und Weiterbildungsstipendien) werden wir die </w:t>
      </w:r>
      <w:r>
        <w:rPr>
          <w:rFonts w:ascii="Arial" w:hAnsi="Arial" w:cs="Arial"/>
          <w:sz w:val="24"/>
          <w:szCs w:val="24"/>
        </w:rPr>
        <w:lastRenderedPageBreak/>
        <w:t>Transparenz auf dem vielfältigen Weiterbildungsmarkt für Menschen und Unternehmen erhöhen und Information und Beratung ausbauen.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Gleichzeitig wollen wir die Weiterbildungsangebote der Hochschulen ausweiten und ein Programm für beruflichen Aufstieg durch Bildung auf den Weg bringen, um beruflichen Aufstieg noch attraktiver zu machen.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Wir wollen die wissenschaftliche Weiterbildung intensivieren und Netzwerke von Hochschulen und Unternehmen, insbesondere von Fachhochschulen und kleinen und mittleren Unternehmen, fördern. </w:t>
      </w:r>
    </w:p>
    <w:p w:rsidR="007F452D" w:rsidRDefault="007F452D">
      <w:pPr>
        <w:pStyle w:val="NurText"/>
        <w:contextualSpacing/>
        <w:jc w:val="both"/>
        <w:rPr>
          <w:rFonts w:ascii="Arial" w:hAnsi="Arial" w:cs="Arial"/>
          <w:sz w:val="24"/>
          <w:szCs w:val="24"/>
        </w:rPr>
      </w:pPr>
    </w:p>
    <w:p w:rsidR="007F452D" w:rsidRDefault="006007DF">
      <w:pPr>
        <w:pStyle w:val="berschrift2"/>
        <w:numPr>
          <w:ilvl w:val="1"/>
          <w:numId w:val="9"/>
        </w:numPr>
        <w:contextualSpacing/>
        <w:rPr>
          <w:szCs w:val="24"/>
        </w:rPr>
      </w:pPr>
      <w:bookmarkStart w:id="13" w:name="_Toc505767150"/>
      <w:r>
        <w:rPr>
          <w:szCs w:val="24"/>
        </w:rPr>
        <w:t>Hochschulen und Wissenschaft</w:t>
      </w:r>
      <w:bookmarkEnd w:id="13"/>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Die Bundesaufwendungen für Studienplätze im Rahmen des Hochschulpakts sind für die Hochschulen unverzichtbar. Um vor dem Hintergrund der anhaltend hohen Studiennachfrage eine qualitativ hochwertige Lehre sicherzustellen, werden wir die Bundesmittel auf Grundlage des neu geschaffenen Art. 91b Grundgesetz (GG) dauerhaft verstetigen. Die konkreten Förderkriterien können alle sieben Jahre periodisch mit den Ländern und Hochschulen ausverhandelt werden. Dabei sind im Sinne guter Arbeit Kontinuität und Verlässlichkeit wichtige Kriterien und sollen mit qualitativen und quantitativen Aspekten in der Hochschulbildung verbunden werden. </w:t>
      </w:r>
      <w:r>
        <w:rPr>
          <w:rFonts w:ascii="Arial" w:eastAsia="Arial" w:hAnsi="Arial" w:cs="Arial"/>
          <w:sz w:val="24"/>
          <w:szCs w:val="24"/>
          <w:lang w:eastAsia="zh-CN"/>
        </w:rPr>
        <w:t>Die zielgerichtete Verwendung der Bundesmittel wird regelmäßig überprüft.</w:t>
      </w:r>
      <w:r>
        <w:rPr>
          <w:rFonts w:ascii="Arial" w:eastAsiaTheme="minorEastAsia" w:hAnsi="Arial" w:cs="Arial"/>
          <w:sz w:val="24"/>
          <w:szCs w:val="24"/>
          <w:lang w:eastAsia="zh-CN"/>
        </w:rPr>
        <w:t xml:space="preserve"> Für uns stehen die Qualität von Forschung und Lehre und die Berufschancen der Studierenden (Absolventenstudien) im Mittelpunkt.</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Den Qualitätspakt Lehre wollen wir verstetigen und in Anlehnung an die Empfehlungen des Wissenschaftsrates weiterentwickeln und u. a. die innovative Hochschullehre, den hochschulübergreifenden Austausch und die Übertragung erfolgreicher Konzepte wettbewerblich fördern.</w:t>
      </w:r>
    </w:p>
    <w:p w:rsidR="007F452D" w:rsidRDefault="007F452D">
      <w:pPr>
        <w:spacing w:after="0" w:line="240" w:lineRule="auto"/>
        <w:contextualSpacing/>
        <w:jc w:val="both"/>
        <w:rPr>
          <w:rFonts w:ascii="Arial" w:eastAsia="Arial"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Die Qualitätsoffensive Lehrerbildung von Bund und Ländern wollen wir fortsetzen und um die Schwerpunkte Digitalisierung und Lehrerinnen- und Lehrerausbildung für die beruflichen Schulen erweitern.</w:t>
      </w:r>
    </w:p>
    <w:p w:rsidR="007F452D" w:rsidRDefault="007F452D">
      <w:pPr>
        <w:spacing w:after="0" w:line="240" w:lineRule="auto"/>
        <w:contextualSpacing/>
        <w:jc w:val="both"/>
        <w:rPr>
          <w:rFonts w:ascii="Arial" w:eastAsia="Arial"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Die Programmpauschalen werden nach 2020 fortgeführt und zur Administrierung dem Grundhaushalt der Deutschen Forschungsgemeinschaft (DFG) zugewiesen. Dabei bleibt bis 2025 der bisherige für Programmpauschalen geltende Finanzierungsschlüssel erhalten. Die Finanzierungsanteile von Bund und Ländern werden für die Zeit nach 2025 neu verhandelt. Perspektivisch streben wir eine Erhöhung der Programmpauschalen auf 30 Prozent an.</w:t>
      </w:r>
    </w:p>
    <w:p w:rsidR="007F452D" w:rsidRDefault="007F452D">
      <w:pPr>
        <w:spacing w:after="0" w:line="240" w:lineRule="auto"/>
        <w:contextualSpacing/>
        <w:jc w:val="both"/>
        <w:rPr>
          <w:rFonts w:ascii="Arial" w:eastAsia="Arial"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Wir wollen die Fachhochschulen stärken. Wir wollen die Projektförderung des Bundes für Forschung an Fachhochschulen ausbauen und insbesondere den Transfer und damit die regionale Innovationsfunktion stärken. </w:t>
      </w:r>
      <w:r>
        <w:rPr>
          <w:rFonts w:ascii="Arial" w:eastAsia="Arial" w:hAnsi="Arial" w:cs="Arial"/>
          <w:sz w:val="24"/>
          <w:szCs w:val="24"/>
          <w:lang w:eastAsia="zh-CN"/>
        </w:rPr>
        <w:t>Wir wollen gemeinsam mit den Ländern eine breit angelegte Initiative starten, um Karrierewege bis zur Fachhochschulprofessur aktiv zu gestalten und Fachhochschulen bei deren Rekrutierung zu unterstützen.</w:t>
      </w:r>
      <w:r>
        <w:rPr>
          <w:rFonts w:ascii="Arial" w:eastAsiaTheme="minorEastAsia" w:hAnsi="Arial" w:cs="Arial"/>
          <w:sz w:val="24"/>
          <w:szCs w:val="24"/>
          <w:lang w:eastAsia="zh-CN"/>
        </w:rPr>
        <w:t xml:space="preserve"> Zudem wollen wir Strategien der Fachhochschulen zur Internationalisierung gezielt unterstützen. </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Das Ausbildungsförderungsgesetz des Bundes (BAföG) wird ausgebaut und die Leistungen werden deutlich verbessert. Unser gemeinsames Ziel ist es, die förderbedürftigen Auszubildenden wieder besser zu erreichen und bis 2021 eine Trendumkehr zu </w:t>
      </w:r>
      <w:r>
        <w:rPr>
          <w:rFonts w:ascii="Arial" w:eastAsiaTheme="minorEastAsia" w:hAnsi="Arial" w:cs="Arial"/>
          <w:sz w:val="24"/>
          <w:szCs w:val="24"/>
          <w:lang w:eastAsia="zh-CN"/>
        </w:rPr>
        <w:lastRenderedPageBreak/>
        <w:t>schaffen. Wir wollen die Stipendienkultur und Begabtenförderwerke in Deutschland weiter stärken. Die Schüler- und Leistungswettbewerbe wollen wir ausbauen.</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Auch die Schaffung studentischen Wohnraums, u. a. auch Wohnheimplätze, wollen wir fördern. </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Die Digitalisierung bietet für unsere Hochschulen große Chancen. Wir wollen sie unterstützen, diese Chancen umfassend zu nutzen und damit die Qualität von Studium, Lehre, Forschung sowie der Verwaltung und den wissenschaftlichen Austausch zu verbessern. Mit einem Wettbewerb werden wir digital innovative Hochschulen oder Hochschulverbünde fördern. Wir wollen dabei insbesondere hochschulübergreifende, vernetzte Konzepte, z. B. Lehr- und Lernplattformen fördern. Wir wollen den Fernhochschulen mit dem „Open University Network“ eine Plattform zur Koordinierung anbieten.</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Wir wollen mit einer nationalen Forschungsdaten-Infrastruktur wissenschaftliche Datenbestände systematisieren und einen nachhaltigen Zugang sicherstellen. So stärken wir unser Wissenschaftssystem auch für den internationalen Wettbewerb. Wir werden mit den Ländern eine auf Dauer angelegte Strategie für Nationales Hochleistungsrechnen nach Art. 91b Grundgesetz (GG) auflegen und diese gemeinsam finanzieren.</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Arial" w:hAnsi="Arial" w:cs="Arial"/>
          <w:sz w:val="24"/>
          <w:szCs w:val="24"/>
          <w:lang w:eastAsia="zh-CN"/>
        </w:rPr>
      </w:pPr>
      <w:r>
        <w:rPr>
          <w:rFonts w:ascii="Arial" w:eastAsiaTheme="minorEastAsia" w:hAnsi="Arial" w:cs="Arial"/>
          <w:sz w:val="24"/>
          <w:szCs w:val="24"/>
          <w:lang w:eastAsia="zh-CN"/>
        </w:rPr>
        <w:t>Die Forschungsinfrastrukturen an Hochschulen und außeruniversitären Forschungseinrichtungen wollen wir – auch in internationaler Kooperation – ausbauen.</w:t>
      </w:r>
    </w:p>
    <w:p w:rsidR="007F452D" w:rsidRDefault="007F452D">
      <w:pPr>
        <w:spacing w:after="0" w:line="240" w:lineRule="auto"/>
        <w:contextualSpacing/>
        <w:jc w:val="both"/>
        <w:rPr>
          <w:rFonts w:ascii="Arial" w:eastAsia="Arial" w:hAnsi="Arial" w:cs="Arial"/>
          <w:sz w:val="24"/>
          <w:szCs w:val="24"/>
          <w:lang w:eastAsia="zh-CN"/>
        </w:rPr>
      </w:pPr>
    </w:p>
    <w:p w:rsidR="007F452D" w:rsidRDefault="006007DF">
      <w:pPr>
        <w:spacing w:after="0" w:line="240" w:lineRule="auto"/>
        <w:contextualSpacing/>
        <w:jc w:val="both"/>
        <w:rPr>
          <w:rFonts w:ascii="Arial" w:hAnsi="Arial" w:cs="Arial"/>
          <w:sz w:val="24"/>
          <w:szCs w:val="24"/>
        </w:rPr>
      </w:pPr>
      <w:r>
        <w:rPr>
          <w:rFonts w:ascii="Arial" w:eastAsiaTheme="minorEastAsia" w:hAnsi="Arial" w:cs="Arial"/>
          <w:sz w:val="24"/>
          <w:szCs w:val="24"/>
          <w:lang w:eastAsia="zh-CN"/>
        </w:rPr>
        <w:t xml:space="preserve">Wir wollen eine nationale Open-Access-Strategie entwickeln. </w:t>
      </w:r>
      <w:r>
        <w:rPr>
          <w:rFonts w:ascii="Arial" w:hAnsi="Arial" w:cs="Arial"/>
          <w:sz w:val="24"/>
          <w:szCs w:val="24"/>
        </w:rPr>
        <w:t>Wir werden offene Kanäle für wissenschaftliche Kommunikation und Publikation fördern und Empfänger von Fördermitteln im Rahmen der Projektförderung des Bundes daher regelhaft verpflichten, ihre Publikationen mittels offener Lizenzen frei verfügbar zu machen und im Rahmen der Projektförderung des Bundesministeriums für Bildung und Forschung die entstehenden Overhead-Kosten in einem angemessenen Umfang zu übernehmen.</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Wir werden die Regelungen im Urheberrechts-Wissensgesellschafts-Gesetz für den Bildungs- und Wissenschaftsbereich umfassend evaluieren und unter Abwägung aller Interessen über eine Verstetigung entscheiden.</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Exzellenz ist ein Leitelement in der Wissenschaftspolitik. Hierfür wollen wir neben der Exzellenzstrategie neue Maßnahmen entwickeln, um Spitzenwissenschaftlerinnen und Spitzenwissenschaftler in Deutschland zu halten und internationale Spitzenwissenschaftlerinnen und Spitzenwissenschaftler zu gewinnen. </w:t>
      </w:r>
    </w:p>
    <w:p w:rsidR="007F452D" w:rsidRDefault="007F452D">
      <w:pPr>
        <w:spacing w:after="0" w:line="240" w:lineRule="auto"/>
        <w:contextualSpacing/>
        <w:jc w:val="both"/>
        <w:rPr>
          <w:rFonts w:ascii="Arial" w:eastAsia="Arial"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Wir wollen prüfen, wie wir die neuen Möglichkeiten des Art. 91b Grundgesetz (GG) nutzen können, um ausgewählte forschungsstarke und exzellente Institute an Hochschulen bundesseitig mitfördern zu können, ohne sie aus der Hochschule herauslösen zu müssen.</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Wir wollen den wichtigen Weg für gute Arbeit in der Wissenschaft fortsetzen und die Evaluationsergebnisse der letzten Novelle des Wissenschaftszeitvertragsgesetzes auswerten, um Karrierewege in der Wissenschaft attraktiv zu halten.</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lastRenderedPageBreak/>
        <w:t>Wir wollen die Umsetzung des „Masterplans Medizinstudium 2020“ zur Neustrukturierung und Verbesserung der Medizinerausbildung, zur Stärkung der Allgemeinmedizin, zur Anpassung des Zulassungsverfahrens und zur besseren flächendeckenden hausärztlichen Versorgung gerade in ländlichen Regionen eng begleiten. Der Bund wird die Länder bei der Novellierung der Hochschulzulassung zum Medizinstudium begleiten, die im Zuge des Bundesverfassungsgerichtsurteils notwendig geworden ist.</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Wir wollen die Leistungsfähigkeit des öffentlichen Dienstes weiterhin sicherstellen, indem wir die Zugangsvoraussetzungen im Bundesrecht künftig auch stärker an gewonnenen berufspraktischen Erfahrungen oder besonderen wissenschaftlichen Qualifikationen orientieren und beispielsweise den Zugang zum höheren Dienst des Bundes auch für Bachelor-Absolventen mit Promotion oder mehrjähriger beruflicher Erfahrung öffnen.</w:t>
      </w:r>
    </w:p>
    <w:p w:rsidR="007F452D" w:rsidRDefault="007F452D">
      <w:pPr>
        <w:spacing w:after="0" w:line="240" w:lineRule="auto"/>
        <w:contextualSpacing/>
        <w:jc w:val="both"/>
        <w:rPr>
          <w:rFonts w:ascii="Arial" w:eastAsiaTheme="minorEastAsia" w:hAnsi="Arial" w:cs="Arial"/>
          <w:sz w:val="24"/>
          <w:szCs w:val="24"/>
          <w:lang w:eastAsia="zh-CN"/>
        </w:rPr>
      </w:pPr>
    </w:p>
    <w:p w:rsidR="007F452D" w:rsidRDefault="006007DF">
      <w:pPr>
        <w:spacing w:after="0" w:line="240" w:lineRule="auto"/>
        <w:contextualSpacing/>
        <w:jc w:val="both"/>
        <w:rPr>
          <w:rFonts w:ascii="Arial" w:eastAsiaTheme="minorEastAsia" w:hAnsi="Arial" w:cs="Arial"/>
          <w:sz w:val="24"/>
          <w:szCs w:val="24"/>
          <w:lang w:eastAsia="zh-CN"/>
        </w:rPr>
      </w:pPr>
      <w:r>
        <w:rPr>
          <w:rFonts w:ascii="Arial" w:eastAsiaTheme="minorEastAsia" w:hAnsi="Arial" w:cs="Arial"/>
          <w:sz w:val="24"/>
          <w:szCs w:val="24"/>
          <w:lang w:eastAsia="zh-CN"/>
        </w:rPr>
        <w:t xml:space="preserve">Wir wollen dazu beitragen, dass Frauen vermehrt Führungspositionen in Hochschulen und Forschungseinrichtungen übernehmen. Orientiert am Kaskadenmodell müssen Wissenschaftseinrichtungen auf eine Steigerung des Frauenanteils verpflichtet werden. Wir werden als Kriterium für die Förderung von Wissenschafts- und Forschungseinrichtungen die Vorlage von Gleichstellungs- und Personalentwicklungskonzepten mit verbindlichen Zielgrößen zur Erhöhung des Frauenanteils sowie die Einhaltung von Gleichstellungsstandards einführen. Einen wichtigen Beitrag wird das erneuerte Professorinnenprogramm leisten. Daneben liefert insbesondere die Geschlechterforschung wichtige wissenschaftliche Erkenntnisse über Ursachen und Mechanismen, die die Gleichstellung behindern. </w:t>
      </w:r>
    </w:p>
    <w:p w:rsidR="007F452D" w:rsidRDefault="007F452D">
      <w:pPr>
        <w:pStyle w:val="NurText"/>
        <w:contextualSpacing/>
        <w:jc w:val="both"/>
        <w:rPr>
          <w:rFonts w:ascii="Arial" w:hAnsi="Arial" w:cs="Arial"/>
          <w:sz w:val="24"/>
          <w:szCs w:val="24"/>
        </w:rPr>
      </w:pPr>
    </w:p>
    <w:p w:rsidR="007F452D" w:rsidRDefault="006007DF">
      <w:pPr>
        <w:pStyle w:val="berschrift2"/>
        <w:numPr>
          <w:ilvl w:val="1"/>
          <w:numId w:val="9"/>
        </w:numPr>
        <w:contextualSpacing/>
        <w:rPr>
          <w:szCs w:val="24"/>
        </w:rPr>
      </w:pPr>
      <w:bookmarkStart w:id="14" w:name="_Toc505767151"/>
      <w:r>
        <w:rPr>
          <w:szCs w:val="24"/>
        </w:rPr>
        <w:t>Forschung und Innovation</w:t>
      </w:r>
      <w:bookmarkEnd w:id="14"/>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Deutschland muss ein Innovationsland bleiben. Deshalb vereinbart der Bund gemeinsam mit den Ländern und der Wirtschaft, bis 2025 mindestens 3,5 Prozent des Bruttoinlandsprodukts (BIP) für Forschung und Entwicklung aufzuwenden.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Für strukturschwache Regionen in ganz Deutschland, in denen es an unternehmerischer Innovationskraft fehlt, wollen wir mit einem Rahmenprogramm „Innovation und Strukturwandel“ zielgenaue Förderinstrumente entwickeln, z. B. durch das Programm „WIR – Wandel in der Region durch Innovation“ sowie weitere Maßnahmen zum Ausbau der Innovationskompetenz an regionalen Hochschulen und Forschungseinrichtungen und zur Vernetzung von Innovationsakteuren vor Ort. Die östlichen Bundesländer wollen wir bei ihren Anstrengungen in der Wissenschafts- und Innovationspolitik besonders unterstützen.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Die Hightech-Strategie (HTS) wird als ressortübergreifende Forschungs- und Innovationsstrategie weiterentwickelt und auf die großen Herausforderungen Digitalisierung, Gesundheit, Klima und Energie, Mobilität, Sicherheit, soziale Innovationen und die Zukunft der Arbeit fokussiert. Umfassende Technologieoffenheit in der Forschungsförderung ist ein wichtiges Grundprinzip unserer Forschungspolitik. Den Transfer wollen wir als zentrale Säule unseres Forschungs- und Innovationssystems nachhaltig stärken und substanzielle Steigerungen erreichen. Zur Förderung von Sprunginnovationen wollen wir neue Instrumente schaffen und die direkte Forschungsförderung des Bundes stärker auf den Wissens- und Technologietransfer in die Wirtschaft ausrichten. Wir wollen Forschungscampi ausbauen. Auf ausgewählten Forschungsfeldern wollen wir starke Anreize für die Zusammenarbeit der Forschungs- und Wissen</w:t>
      </w:r>
      <w:r>
        <w:rPr>
          <w:rFonts w:ascii="Arial" w:eastAsia="Arial" w:hAnsi="Arial" w:cs="Arial"/>
          <w:sz w:val="24"/>
          <w:szCs w:val="24"/>
        </w:rPr>
        <w:lastRenderedPageBreak/>
        <w:t>schaftseinrichtungen setzen. Das heißt: Konzepte für Zukunftscluster entwickeln und umsetzen sowie rechtliche Barrieren für Wissenschaftskooperationen abbauen und den Transfer in einer konzertierten Aktion der relevanten Akteure umsetzen. Die laufende Hochtemperatur-Plasmaforschung in Deutschland wollen wir angemessen finanziell absichern. Wir wollen Open-Innovation-Ansätze, soziale Innovationen sowie inter- und transdisziplinäre Ansätze fördern und Experimentierräume einrichten, um innovative technische Systeme und neue Geschäftsmodelle zu erproben. Die Validierung des Innovationspotenzials von Forschungsergebnissen wollen wir ebenso fördern wie Start-ups und Gründungen aus der Forschung. Wir wollen den Dialog von Wirtschaft, Politik, Wissenschaft und Gesellschaft intensivieren, neue Beteiligungsformen unter Einbeziehung der Zivilgesellschaft erproben und die Wissenschaftskommunikation stärken. Wir wollen auch die Internationalisierung der HTS vorantreiben.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Technologische Basis und Triebfeder der Digitalisierung sind Mikroelektronik, moderne Kommunikationstechnik, künstliche Intelligenz, Robotik, Datenwissenschaften, IT-Sicherheit und Quantentechnologien. Wir wollen die Forschung zu diesen Schlüsseltechnologien intensiv fördern, inklusive sozialer und geisteswissenschaftlicher Begleitforschung. Insbesondere wollen wir Deutschland zu einem weltweit führenden Standort bei der Erforschung von künstlicher Intelligenz machen. Hierzu wollen wir aus der Plattform Lernende Systeme heraus ein Nationales Forschungskonsortium für künstliche Intelligenz und maschinelles Lernen aufbauen und konsequent auf Anwendungen in allen Feldern der Forschungs- und Innovationsstrategie ausrichten. Wir werden gemeinsam mit unseren französischen Partnern ein öffentlich verantwortetes Zentrum für künstliche Intelligenz errichten. Gemeinsam mit Polen wollen wir ein Zentrum für digitale Innovationen in der Systemforschung einrichten.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Wir wollen die Gesundheitsforschung ausbauen und die Patientinnen und Patienten in den Mittelpunkt stellen. Hierzu wollen wir die Hochschulmedizin, insbesondere auch die Versorgungsforschung und die Medizininformatik, stärken. Deutschland soll zum Vorreiter bei der Einführung digitaler Innovationen in das Gesundheitssystem werden. Wir werden eine Roadmap zur Entwicklung und Umsetzung innovativer </w:t>
      </w:r>
      <w:r w:rsidR="00F46163">
        <w:rPr>
          <w:rFonts w:ascii="Arial" w:eastAsia="Arial" w:hAnsi="Arial" w:cs="Arial"/>
          <w:sz w:val="24"/>
          <w:szCs w:val="24"/>
        </w:rPr>
        <w:br/>
      </w:r>
      <w:r>
        <w:rPr>
          <w:rFonts w:ascii="Arial" w:eastAsia="Arial" w:hAnsi="Arial" w:cs="Arial"/>
          <w:sz w:val="24"/>
          <w:szCs w:val="24"/>
        </w:rPr>
        <w:t>E-Health-Lösungen erarbeiten. Die Translation von Forschungsergebnissen zu den großen Volkskrankheiten wollen wir durch den Ausbau der Deutschen Zentren für Gesundheitsforschung beschleunigen. Wir wollen eine Nationale Wirkstoffinitiative starten und eine Nationale Dekade gegen den Krebs ausrufen. Die Forschung zur Demenz, zu psychischen Erkrankungen, Lungen- und Immunerkrankungen, Kinder- und Jugendmedizin und zur Prävention wollen wir ebenso ausbauen, wie unser Engagement in der Forschung für globale Gesundheit. Zur Verbesserung der medizinischen Forschung wollen wir ein Förderprogramm für forschende Ärztinnen und Ärzte (clinical scientists) und klinisch tätige Forscherinnen und Forscher auflegen.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Wir werden die Nutzung von Prinzipien der Natur vorantreiben und eine ressortübergreifende Agenda „Von der Biologie zur Innovation“ gemeinsam mit Wirtschaft, Wissenschaft und Zivilgesellschaft erarbeiten. Wir wollen überdies die Entwicklung neuer Werkstoffe und intelligenter, programmierbarer Materialien fördern.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In der Energie- und Klimaforschung wollen wir gemeinsam mit der Wirtschaft und zivilgesellschaftlichen Akteuren Systemlösungen erforschen, insbesondere für die Sektorkopplung von Strom-Mobilität-Wärme. Gleiches gilt für die Erdsystemforschung.</w:t>
      </w: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lastRenderedPageBreak/>
        <w:t>Wir wollen ein Mobilitätsforschungsprogramm inklusive der Erforschung der autonomen Mobilität auflegen, die Förderung der Batterieforschung intensivieren und den Aufbau einer Batteriezellproduktion in Deutschland unterstützen. Wir wollen die Erforschung synthetischer Kraftstoffe stärken und diese pilothaft zum Einsatz bringen.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Um Sicherheit und Ordnung auch in der vernetzen Welt zu fördern, legen wir ein neues Rahmenprogramm für die zivile Sicherheitsforschung auf. Wir wollen die Kompetenzzentren der IT-Sicherheitsforschung zu international sichtbaren Forschungs- und Beratungszentren, auch für technologieorientierte Unternehmensgründungen, weiterentwickeln. Wissenschaft, Wirtschaft, Sicherheitsbehörden und Einsatzkräfte sollen zusammenarbeiten.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Mit unserem Programm „Zukunft der Arbeit“ wollen wir Antworten auf die Frage geben, wie die Arbeitswelt mit den neuen Technologien sinnvoll gestaltet werden kann. Hierzu wollen wir die modellhafte Erarbeitung neuer Arbeitsformen in regionalen Kompetenzzentren der Arbeitsforschung fördern.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Die Küsten-, Polar- und Meeresforschung wollen wir stärken und die Forschungsflotte weiter erneuern. Wir wollen das Meeresforschungsprogramm MARE:N weiterentwickeln und gemeinsam mit den Ländern eine Deutsche Allianz für Meeresforschung gründen.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Den Pakt für Forschung und Innovation (PFI) setzen wir ab dem Jahr 2021 mit einem jährlichen Aufwuchs von mindestens drei Prozent auf Basis der bewährten Bund-Länder-Schlüssel fort. Ziele und Instrumente des PFI, insbesondere zum Transfer, zur Gleichstellung, zur Nachwuchsförderung und zur Kooperation mit Hochschulen, wollen wir weiterentwickeln und über die Fortschritte jährlich berichten. Die Forschungsmuseen leisten einen wichtigen Beitrag zur Wissenschaftskommunikation.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Wir erweitern die Förderung der Geistes- und Sozialwissenschaften für wissenschaftsgetriebene und grundlagenorientierte Forschungsprojekte. Im Fokus unserer Förderung wird die Forschung zu Migration, zu Integration und zu gesellschaftlichem Zusammenhalt, zu Demokratie und Frieden, zu Konfliktursachen und </w:t>
      </w:r>
      <w:r>
        <w:rPr>
          <w:rFonts w:ascii="Arial" w:eastAsia="Arial" w:hAnsi="Arial" w:cs="Arial"/>
          <w:sz w:val="24"/>
          <w:szCs w:val="24"/>
        </w:rPr>
        <w:br/>
        <w:t>-bewältigungsstrategien und die Förderung der kleinen Fächer stehen.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stärken in der EU die strategische Forschungspolitik, die Innovationsfähigkeit und den europäischen Forschungsraum und werden Exzellenz und Subsidiarität als Grundprinzipien der europäischen Forschungsförderung weiterhin einfordern und verankern. Die Länder Mittel- und Osteuropas („EU 13“) wollen wir stärker in den europäischen Forschungsraum integrieren.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uns dafür ein, dass der nächste mehrjährige EU-Finanzrahmen stärker auf Zukunftsthemen wie Bildung, Forschung und Innovation ausgerichtet ist. Die finanzielle Ausstattung des 9. EU-Forschungsrahmenprogramms sollte mindestens denselben Umfang haben wie der ursprüngliche Haushaltsansatz für „Horizon 2020“.</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Der Europäische Forschungsrat muss auch in der künftigen EU-Forschungsförde</w:t>
      </w:r>
      <w:r>
        <w:rPr>
          <w:rFonts w:ascii="Arial" w:hAnsi="Arial" w:cs="Arial"/>
          <w:sz w:val="24"/>
          <w:szCs w:val="24"/>
        </w:rPr>
        <w:softHyphen/>
        <w:t>rung eine herausgehobene Stellung einnehmen und weiter gestärkt werden. Wir werden uns an der konzeptionellen Gestaltung und Umsetzung der französischen Initiative zu europäischen Hochschulen mit einer „bottom up“-Strategie beteiligen.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wollen die internationale Wettbewerbsfähigkeit unseres Wissenschaftssystems konsequent weiter ausbauen und wir intensivieren auf Basis der Strategie der Bun</w:t>
      </w:r>
      <w:r>
        <w:rPr>
          <w:rFonts w:ascii="Arial" w:hAnsi="Arial" w:cs="Arial"/>
          <w:sz w:val="24"/>
          <w:szCs w:val="24"/>
        </w:rPr>
        <w:softHyphen/>
        <w:t>desregierung zur Internationalisierung von Bildung, Wissenschaft und Forschung die internationale Vernetzung. Die Internationalisierung der Hochschulen treiben wir weiter voran und wollen die erfolgreichen Programme, unsere Mittlerorganisationen Alexander von Humboldt-Stiftung und Deutscher Akademischer Austauschdienst stärken. Wir wollen deren Förderung für geflüchtete Studierende und gefährdete Forscherinnen und Forscher an deutschen Hochschulen und Forschungseinrichtungen fortführen. Erfolgreiche ausländische Studienabsolventinnen und Studienabsolventen, Nachwuchswissenschaftlerinnen und Nachwuchswissenschaftler sowie Spitzenforscherinnen und Spitzenforscher wollen wir besser als bisher für den Forschungsstandort Deutschland gewinnen und hier halten. Wir stärken die europäische und internationale Mobilität in Schule, beruflicher Bildung und Hochschule. Dazu trägt ein gestärktes Programm Erasmus+ bei. Wir schaffen Anreize auch für Lehr- und Lernaufenthalte außerhalb Europas.</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Wir wollen unsere internationalen Forschungs- und Innovationspartnerschaften ausbauen und insbesondere die internationale Kooperation mit den Ländern Afrikas in Bildung, Wissenschaft und Forschung intensivieren, z. B. bei der Erforschung von armutsbedingten Krankheiten.</w:t>
      </w:r>
    </w:p>
    <w:p w:rsidR="007F452D" w:rsidRDefault="007F452D">
      <w:pPr>
        <w:spacing w:after="0" w:line="240" w:lineRule="auto"/>
        <w:contextualSpacing/>
        <w:rPr>
          <w:rFonts w:ascii="Arial" w:eastAsia="Arial" w:hAnsi="Arial" w:cs="Arial"/>
          <w:i/>
          <w:sz w:val="24"/>
          <w:szCs w:val="24"/>
        </w:rPr>
      </w:pPr>
    </w:p>
    <w:p w:rsidR="007F452D" w:rsidRDefault="006007DF">
      <w:pPr>
        <w:pStyle w:val="berschrift2"/>
        <w:numPr>
          <w:ilvl w:val="1"/>
          <w:numId w:val="9"/>
        </w:numPr>
        <w:contextualSpacing/>
        <w:jc w:val="both"/>
        <w:rPr>
          <w:szCs w:val="24"/>
        </w:rPr>
      </w:pPr>
      <w:bookmarkStart w:id="15" w:name="_Toc505767152"/>
      <w:r>
        <w:rPr>
          <w:szCs w:val="24"/>
        </w:rPr>
        <w:t>Digitalisierung</w:t>
      </w:r>
      <w:bookmarkEnd w:id="15"/>
      <w:r>
        <w:rPr>
          <w:szCs w:val="24"/>
        </w:rPr>
        <w:t xml:space="preserve">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Digitalisierung bietet große Chancen für unser Land und seine Menschen. Chancen für Wohlstand und sozialen Fortschritt. Unsere Aufgabe ist es, die richtigen Rahmenbedingungen zu schaffen, damit jeder daran teilhaben kann.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Angesichts der Dynamik der Veränderung müssen wir große Schritte wagen, um an die Spitze zu kommen. Wir wollen unser Land in allen Bereichen zu einem starken Digitalland entwickeln.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Dafür setzen wir uns anspruchsvolle Ziele: </w:t>
      </w:r>
    </w:p>
    <w:p w:rsidR="007F452D" w:rsidRDefault="006007DF">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eine flächendeckende digitale Infrastruktur von Weltklasse,</w:t>
      </w:r>
    </w:p>
    <w:p w:rsidR="007F452D" w:rsidRDefault="006007DF">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die Vermittlung von digitalen Fähigkeiten als Schlüsselkompetenz für alle Altersgruppen,</w:t>
      </w:r>
    </w:p>
    <w:p w:rsidR="007F452D" w:rsidRDefault="006007DF">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eine Arbeitswelt, die Menschen im digitalen Wandel befähigt, sichert und mehr Lebensqualität ermöglicht,</w:t>
      </w:r>
    </w:p>
    <w:p w:rsidR="007F452D" w:rsidRDefault="006007DF">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eine Regulierung, die Wettbewerb und Wettbewerbsfähigkeit schafft,</w:t>
      </w:r>
    </w:p>
    <w:p w:rsidR="007F452D" w:rsidRDefault="006007DF">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mehr Sicherheit im Cyberraum,</w:t>
      </w:r>
    </w:p>
    <w:p w:rsidR="007F452D" w:rsidRDefault="006007DF">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mehr Bürgernähe durch eine moderne, digitale Verwaltung,</w:t>
      </w:r>
    </w:p>
    <w:p w:rsidR="007F452D" w:rsidRDefault="006007DF">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einen Rechtsrahmen, der Bürgerrechte garantiert, einen Ausgleich von Freiheit und Sicherheit leistet und gleichzeitig mehr Innovationen ermöglicht.</w:t>
      </w:r>
    </w:p>
    <w:p w:rsidR="007F452D" w:rsidRDefault="007F452D">
      <w:pPr>
        <w:spacing w:after="0" w:line="240" w:lineRule="auto"/>
        <w:contextualSpacing/>
        <w:jc w:val="both"/>
        <w:rPr>
          <w:rFonts w:ascii="Arial" w:hAnsi="Arial" w:cs="Arial"/>
          <w:sz w:val="24"/>
          <w:szCs w:val="24"/>
        </w:rPr>
      </w:pPr>
    </w:p>
    <w:p w:rsidR="00362BAC"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Neugier auf digitale Technologien wecken und Souveränität im Umgang mit ihnen schaffen. Wir sind überzeugt, dass sie das Leben der Menschen verbessern können und brauchen sie als Antwort auf die großen und globalen Herausforderungen. Um sie zu lösen, wollen wir Deutschland und Europa beispielgebend für die Leistungsfähigkeit und Strahlkraft freier Gesellschaften im digitalen Zeitalter gestalten. </w:t>
      </w:r>
    </w:p>
    <w:p w:rsidR="00362BAC" w:rsidRDefault="00362BAC">
      <w:pPr>
        <w:rPr>
          <w:rFonts w:ascii="Arial" w:hAnsi="Arial" w:cs="Arial"/>
          <w:sz w:val="24"/>
          <w:szCs w:val="24"/>
        </w:rPr>
      </w:pPr>
      <w:r>
        <w:rPr>
          <w:rFonts w:ascii="Arial" w:hAnsi="Arial" w:cs="Arial"/>
          <w:sz w:val="24"/>
          <w:szCs w:val="24"/>
        </w:rPr>
        <w:br w:type="page"/>
      </w:r>
    </w:p>
    <w:p w:rsidR="007F452D" w:rsidRDefault="006007DF">
      <w:pPr>
        <w:pStyle w:val="berschrift3"/>
        <w:contextualSpacing/>
      </w:pPr>
      <w:r>
        <w:lastRenderedPageBreak/>
        <w:t>An die Weltspitze im Bereich der digitalen Infrastruktur</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gestalten den Weg in die Gigabit-Gesellschaft mit höchster Priorität. Deshalb wollen wir den flächendeckenden Ausbau mit Gigabit-Netzen bis 2025 erreichen. Wir wollen den Netzinfrastrukturwechsel zur Glasfaser. Unser Ziel lautet: Glasfaser in jeder Region und jeder Gemeinde, möglichst direkt bis zum Haus. Schulen, Gewerbegebiete, soziale Einrichtungen in der Trägerschaft der öffentlichen Hand und Krankenhäuser werden wir bereits in dieser Legislaturperiode direkt an das Glasfasernetz anbinden.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Dafür ist eine gemeinsame Kraftanstrengung von Telekommunikationsanbietern und Staat erforderlich. Wir gehen von einem öffentlichen Finanzierungsbedarf von zehn bis zwölf Milliarden Euro in dieser Legislaturperiode aus, die wir in einem Gigabitinvestitionsfonds verlässlich bereitstellen. Hierfür werden wir die Erlöse aus der Vergabe der UMTS- und 5G-Lizenzen zweckgebunden bereitstellen und wollen bis 2021 im Haushalt sicherstellen, dass das Fördervolumen insgesamt erreicht wird. </w:t>
      </w:r>
    </w:p>
    <w:p w:rsidR="007F452D" w:rsidRDefault="007F452D">
      <w:pPr>
        <w:spacing w:after="0" w:line="240" w:lineRule="auto"/>
        <w:contextualSpacing/>
        <w:jc w:val="both"/>
        <w:rPr>
          <w:rFonts w:ascii="Arial" w:hAnsi="Arial" w:cs="Arial"/>
          <w:sz w:val="24"/>
          <w:szCs w:val="24"/>
          <w:u w:val="single"/>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Diese öffentlichen Fördermittel werden wir so einsetzen, dass ausschließlich Ausbauabschnitte förderfähig sind, die mit Glasfasertechnologie ausgebaut werden. Die Förderverfahren werden wir so gestalten, dass unterversorgte Gebiete in ländlichen Regionen systematisch ausgebaut werden. Dafür werden wir unsere Förderbedingungen vereinfachen und so verändern, dass eine zeitnahe Realisierung möglich wird. Die Aufgreifschwellen werden wir für eine Förderung an diese Zielvorgaben anpassen. Bei der Förderung wollen wir Synergien mit den Ländern sicherstellen. </w:t>
      </w:r>
    </w:p>
    <w:p w:rsidR="007F452D" w:rsidRDefault="007F452D">
      <w:pPr>
        <w:spacing w:after="0" w:line="240" w:lineRule="auto"/>
        <w:contextualSpacing/>
        <w:jc w:val="both"/>
        <w:rPr>
          <w:rFonts w:ascii="Arial" w:hAnsi="Arial" w:cs="Arial"/>
          <w:b/>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Ferner wollen wir neue Anreize für den privatwirtschaftlichen Glasfaserausbau schaffen. Um den Aufbau solcher Netze zu erleichtern, werden wir statt einer detaillierten ex-ante-Regulierung wie bisher im Kupfernetz auf ein Modell des diskriminierungsfreien Zugangs (im Sinne des Open-Access) setzen. Dieses Modell wollen wir zunächst für Kooperationen nutzen und weiter ausbauen. Die Regulierungsbehörde stellt den Wettbewerb sicher und führt eine </w:t>
      </w:r>
      <w:r w:rsidR="00501DC6">
        <w:rPr>
          <w:rFonts w:ascii="Arial" w:hAnsi="Arial" w:cs="Arial"/>
          <w:sz w:val="24"/>
          <w:szCs w:val="24"/>
        </w:rPr>
        <w:t>Ex</w:t>
      </w:r>
      <w:r>
        <w:rPr>
          <w:rFonts w:ascii="Arial" w:hAnsi="Arial" w:cs="Arial"/>
          <w:sz w:val="24"/>
          <w:szCs w:val="24"/>
        </w:rPr>
        <w:t>-post-Kontrolle in Streitfällen durch.</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Netzallianz „Digitales Deutschland“ mit den innovations- und investitionswilligen Telekommunikationsunternehmen setzen wir unter Einbeziehung der Länder fort.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Mit dem hier dargestellten Maßnahmenpaket werden wir das Ziel eines flächendeckenden Zugangs zum schnellen Internet aller Bürgerinnen und Bürger erreichen. Dazu werden wir einen rechtlich abgesicherten Anspruch zum 1. Januar 2025 schaffen und diesen bis zur Mitte der Legislaturperiode ausgestalten.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forcieren den Ausbau der Mobilfunkversorgung und entwickeln Deutschland zum Leitmarkt für 5G. Die Frequenzpolitik und die frequenzregulatorischen Festlegungen der Regulierungsbehörde müssen sicherstellen, dass es zu einer verlässlichen und lückenlosen Mobilfunkversorgung insbesondere im ländlichen Raum kommt. Um den Ausbau in bisher unterversorgten Gebieten wirtschaftlicher zu machen, wollen wir den Mobilfunkanbietern für ein nationales Roaming durch entsprechende Änderungen im Telekommunikations- und Kartellrecht Absprachen erlauben.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Lizenzvergabe werden wir mit Ausbauauflagen kombinieren, um bestehende Funklöcher zu schließen und 5G dynamisch aufzubauen. Es muss die Vorgabe gelten: Neue Frequenzen nur gegen flächendeckende Versorgung. Denn innovative, zukunftsfähige Mobilitätsangebote werden gerade für Menschen im ländlichen Raum </w:t>
      </w:r>
      <w:r>
        <w:rPr>
          <w:rFonts w:ascii="Arial" w:hAnsi="Arial" w:cs="Arial"/>
          <w:sz w:val="24"/>
          <w:szCs w:val="24"/>
        </w:rPr>
        <w:lastRenderedPageBreak/>
        <w:t xml:space="preserve">nur möglich sein, wenn eine Versorgung mit der neuesten Mobilfunktechnologie (5G) an Bundesfernstraßen und in zeitlicher Perspektive abgestuft auch im nachgeordneten Straßennetz und an allen Bahnstrecken sichergestellt ist.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Forschung und Testversuche mit 5G wollen wir fortführen und intensivieren. Wir wollen eine 5x5G-Strategie auflegen. Fünf Regionen sollen prioritär mit einem entsprechenden Mobilfunkstandard ausgestattet sein, um Forschung zu intensivieren und Infrastrukturaufbau zu beschleunigen. Auch ländliche Regionen sollen davon profitieren.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bestehende Funklöcher und weiße Flecken beim Mobilfunk und mobilen Internet zügig schließen und dazu mit den Ländern und den Mobilfunkanbietern eine bundesweite Gesamtstrategie erarbeiten. Die Regulierungsbehörde wird die Erfüllung festgelegter Versorgungsauflagen durchsetzen, indem sie mit einem Prüfkonzept und mit bundesweiten Mobilfunknetztests die Erfüllung von Versorgungsauflagen überwacht und im Einzelfall Sanktionen verhängt. Wir werden die Bundesnetzagentur beauftragen, ihre App zur Mobilfunknetzmessung so zu erweitern, dass Bürgerinnen und Bürger einfach und unbürokratisch Funklöcher an die Behörde melden können. Diese Meldungen sollen in einer Mobilfunkversorgungskarte zusammengeführt und veröffentlicht werden. Die Bundesnetzagentur wird jährlich einen Monitoringbericht über die Sicherstellung der zugesagten Netzabdeckung veröffentlichen und gegebenenfalls Handlungsempfehlungen aussprechen.</w:t>
      </w:r>
    </w:p>
    <w:p w:rsidR="007F452D" w:rsidRDefault="007F452D">
      <w:pPr>
        <w:spacing w:after="0" w:line="240" w:lineRule="auto"/>
        <w:contextualSpacing/>
        <w:jc w:val="both"/>
        <w:rPr>
          <w:rFonts w:ascii="Arial" w:hAnsi="Arial" w:cs="Arial"/>
          <w:b/>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WLAN ist wichtiger Teil einer modernen digitalen Infrastruktur. Wir haben die Störerhaftung abgeschafft und damit den Ausbau von WLAN ermöglicht. Nun machen wir an allen öffentlichen Einrichtungen des Bundes sowie </w:t>
      </w:r>
      <w:r w:rsidR="00362BAC">
        <w:rPr>
          <w:rFonts w:ascii="Arial" w:hAnsi="Arial" w:cs="Arial"/>
          <w:sz w:val="24"/>
          <w:szCs w:val="24"/>
        </w:rPr>
        <w:t xml:space="preserve">in Zügen und Stationen </w:t>
      </w:r>
      <w:r>
        <w:rPr>
          <w:rFonts w:ascii="Arial" w:hAnsi="Arial" w:cs="Arial"/>
          <w:sz w:val="24"/>
          <w:szCs w:val="24"/>
        </w:rPr>
        <w:t>der Deutschen Bahn offene und kostenfreie WLAN-Hotspots verfügbar. Durch die Anerkennung der Gemeinnützigkeit des Betriebs und der Unterhaltung offener WLAN-Netze stärken wir Freifunk-Initiativen und verbessern die Netzabdeckung.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Einrichtung einer Digitalagentur prüfen, die die Bundesregierung als nachgeordnete Behörde in der Umsetzung der Maßnahmen unterstützt. Dazu gehören z. B. die Telekommunikations- und Plattformregulierung oder Marktbeobachtung.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Digitale Kompetenzen für alle Bürgerinnen und Bürger in einer modernen Wissensgesellschaft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brauchen eine Digitale Bildungsoffensive, die die gesamte Bildungskette in den Blick nimmt und das gesunde Aufwachsen, die digitale Selbstbestimmung und individuelle aktive Teilhabe, den Umgang mit Daten sowie die hervorragende berufliche Bildung zum Ziel hat. Dafür müssen Bund und Länder verbindliche Vereinbarungen zu Zielen, Umsetzung und Finanzierung treffen.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Mit dem mit fünf Milliarden Euro dotierten Digitalpakt#D zielen Bund und Länder auf die flächendeckende digitale Ausstattung aller Schulen, damit die Schülerinnen und Schüler in allen Fächern und Lernbereichen eine digitale Lernumgebung nutzen können. In diesem Zusammenhang wollen wir eine nationale Bildungsplattform schaffen, die auch eine offene Schnittstelle für das Zusammenwirken mit bestehenden Lernplattformen und Cloudlösungen anbietet. Im Rahmen einer </w:t>
      </w:r>
      <w:r>
        <w:rPr>
          <w:rFonts w:ascii="Arial" w:hAnsi="Arial" w:cs="Arial"/>
          <w:sz w:val="24"/>
          <w:szCs w:val="24"/>
          <w:u w:color="FF0000"/>
        </w:rPr>
        <w:t>umfassenden Open Educational Resources-Strategie</w:t>
      </w:r>
      <w:r>
        <w:rPr>
          <w:rFonts w:ascii="Arial" w:hAnsi="Arial" w:cs="Arial"/>
          <w:sz w:val="24"/>
          <w:szCs w:val="24"/>
        </w:rPr>
        <w:t xml:space="preserve"> wollen wir die Entstehung und Verfügbarkeit, die Weiterverbreitung und den didaktisch fundierten Einsatz offen lizenzierter, frei zugänglicher Lehr- und Lernmaterialien fördern und eine geeignete Qualitätssicherung etab</w:t>
      </w:r>
      <w:r>
        <w:rPr>
          <w:rFonts w:ascii="Arial" w:hAnsi="Arial" w:cs="Arial"/>
          <w:sz w:val="24"/>
          <w:szCs w:val="24"/>
        </w:rPr>
        <w:lastRenderedPageBreak/>
        <w:t>lieren. Auch werden wir regionale Kompetenzzentren für Digitalisierung etablieren und diese mit bestehenden Akteuren und Initiativen vor Ort vernetzen. Ziel der Zentren ist es, technisches und pädagogisches Know-how zu vermitteln sowie Best Practice vorzustellen.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umfassende Maßnahmen zur digitalen Fort- und Weiterbildung von Lehrern und Berufsschullehrern, auch in Zusammenarbeit mit den Hochschulen, ergreifen.</w:t>
      </w:r>
    </w:p>
    <w:p w:rsidR="007F452D" w:rsidRDefault="007F452D">
      <w:pPr>
        <w:spacing w:after="0" w:line="240" w:lineRule="auto"/>
        <w:contextualSpacing/>
        <w:jc w:val="both"/>
        <w:rPr>
          <w:rFonts w:ascii="Arial" w:hAnsi="Arial" w:cs="Arial"/>
          <w:sz w:val="24"/>
          <w:szCs w:val="24"/>
          <w:highlight w:val="yellow"/>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Förderung außerschulischer Medien- und Digitalbildungsprojekte für Kinder und Jugendliche wollen wir ausbauen. Wir werden in einem jährlichen Wettbewerb besondere Medien- und Digitalbildungsprojekte auszeichnen.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Im Bereich der beruflichen Bildung kommt neben dem praxisnahen Einsatz digitaler Elemente im Unterricht der Ausstattung zeitgemäßer Lehrwerkstätten eine besondere Bedeutung zu. Wir wollen eine zukunftsfähige Ausbildung für die Entwicklung der vernetzten Produktion unterstützen und den Einsatz adaptiver Lernsysteme und </w:t>
      </w:r>
      <w:r>
        <w:rPr>
          <w:rFonts w:ascii="Arial" w:hAnsi="Arial" w:cs="Arial"/>
          <w:sz w:val="24"/>
          <w:szCs w:val="24"/>
        </w:rPr>
        <w:br/>
        <w:t>„Serious Games“ in der Berufsbildung schaffen. Die Ausbildungsordnungen und die Befähigungen der betrieblichen Ausbilderinnen und Ausbilder müssen die fortschreitende digitale Entwicklung kontinuierlich nachvollziehen. Auch dazu werden wir das Berufsbildungsgesetz weiterentwickeln.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In der Erwachsenenbildung wollen wir Programme und digitale Angebote für Menschen jeden Lebensalters fördern, die dem Erwerb von Digitalkompetenzen dienen, z. B. auch an Volkshochschulen und in Mehrgenerationenhäusern.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dafür sorgen, dass auch an Hochschulen mehr Online-Lernangebote und digitale Inhalte entstehen. Alle Studierenden brauchen künftig digitale Kompetenzen. Sie sollen digitale Wissens- und Lernangebote selbstständig nutzen und gestalten können sowie Datenanalyse und grundlegende Programmierkenntnisse beherrschen. Wir wollen, dass sich die Universitäten und Hochschulen öffnen und auf digitale Lehr- und Lernangebote zugreifen sowie </w:t>
      </w:r>
      <w:r w:rsidR="00501DC6">
        <w:rPr>
          <w:rFonts w:ascii="Arial" w:hAnsi="Arial" w:cs="Arial"/>
          <w:sz w:val="24"/>
          <w:szCs w:val="24"/>
        </w:rPr>
        <w:t xml:space="preserve">diese </w:t>
      </w:r>
      <w:r>
        <w:rPr>
          <w:rFonts w:ascii="Arial" w:hAnsi="Arial" w:cs="Arial"/>
          <w:sz w:val="24"/>
          <w:szCs w:val="24"/>
        </w:rPr>
        <w:t>selber bereitstellen. Dabei sollen z. B. Nano-Degrees (auch im Rahmen von Weiterbildungsstudienangeboten) an staatlichen Hochschulen erworben werden können.</w:t>
      </w:r>
    </w:p>
    <w:p w:rsidR="007F452D" w:rsidRDefault="007F452D">
      <w:pPr>
        <w:spacing w:after="0" w:line="240" w:lineRule="auto"/>
        <w:contextualSpacing/>
        <w:jc w:val="both"/>
        <w:rPr>
          <w:rStyle w:val="xxt"/>
          <w:rFonts w:ascii="Arial" w:hAnsi="Arial" w:cs="Arial"/>
          <w:sz w:val="24"/>
          <w:szCs w:val="24"/>
        </w:rPr>
      </w:pPr>
    </w:p>
    <w:p w:rsidR="007F452D" w:rsidRDefault="006007DF">
      <w:pPr>
        <w:spacing w:after="0" w:line="240" w:lineRule="auto"/>
        <w:contextualSpacing/>
        <w:jc w:val="both"/>
        <w:rPr>
          <w:rStyle w:val="xxt"/>
          <w:rFonts w:ascii="Arial" w:hAnsi="Arial" w:cs="Arial"/>
          <w:sz w:val="24"/>
          <w:szCs w:val="24"/>
        </w:rPr>
      </w:pPr>
      <w:r>
        <w:rPr>
          <w:rStyle w:val="xxt"/>
          <w:rFonts w:ascii="Arial" w:hAnsi="Arial" w:cs="Arial"/>
          <w:sz w:val="24"/>
          <w:szCs w:val="24"/>
        </w:rPr>
        <w:t>Deutschland muss ein Innovationsland bleiben. Deshalb vereinbart der Bund gemeinsam mit den Ländern und der Wirtschaft, bis 2025 mindestens 3,5 Prozent des BIP für Forschung und Entwicklung aufzuwenden.</w:t>
      </w:r>
    </w:p>
    <w:p w:rsidR="007F452D" w:rsidRDefault="007F452D">
      <w:pPr>
        <w:spacing w:after="0" w:line="240" w:lineRule="auto"/>
        <w:contextualSpacing/>
        <w:jc w:val="both"/>
        <w:rPr>
          <w:rStyle w:val="xxt"/>
          <w:rFonts w:ascii="Arial" w:hAnsi="Arial" w:cs="Arial"/>
          <w:sz w:val="24"/>
          <w:szCs w:val="24"/>
        </w:rPr>
      </w:pPr>
    </w:p>
    <w:p w:rsidR="007F452D" w:rsidRDefault="006007DF">
      <w:pPr>
        <w:spacing w:after="0" w:line="240" w:lineRule="auto"/>
        <w:contextualSpacing/>
        <w:jc w:val="both"/>
        <w:rPr>
          <w:rStyle w:val="xxt"/>
          <w:rFonts w:ascii="Arial" w:hAnsi="Arial" w:cs="Arial"/>
          <w:sz w:val="24"/>
          <w:szCs w:val="24"/>
        </w:rPr>
      </w:pPr>
      <w:r>
        <w:rPr>
          <w:rStyle w:val="xxt"/>
          <w:rFonts w:ascii="Arial" w:hAnsi="Arial" w:cs="Arial"/>
          <w:sz w:val="24"/>
          <w:szCs w:val="24"/>
        </w:rPr>
        <w:t xml:space="preserve">Den Pakt für Forschung und Innovation setzen wir ab dem Jahr 2021 mit einem jährlichen Aufwuchs von mindestens drei Prozent auf Basis der bewährten Bund-Länder-Schlüssel fort.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Style w:val="xxt"/>
          <w:rFonts w:ascii="Arial" w:hAnsi="Arial" w:cs="Arial"/>
          <w:i/>
          <w:sz w:val="24"/>
          <w:szCs w:val="24"/>
        </w:rPr>
      </w:pPr>
      <w:r>
        <w:rPr>
          <w:rStyle w:val="xxt"/>
          <w:rFonts w:ascii="Arial" w:hAnsi="Arial" w:cs="Arial"/>
          <w:sz w:val="24"/>
          <w:szCs w:val="24"/>
        </w:rPr>
        <w:t xml:space="preserve">Die Hightech-Strategie wird weiterentwickelt und auf die großen gesellschaftlichen Herausforderungen fokussiert. Dabei werden wir neue Instrumente zur Förderung von Sprunginnovationen und des Wissenstransfers in die Wirtschaft entwickeln. Umfassende Technologieoffenheit in der Forschungsförderung ist ein wichtiges Grundprinzip unserer Forschungspolitik. </w:t>
      </w:r>
      <w:r>
        <w:rPr>
          <w:rFonts w:ascii="Arial" w:hAnsi="Arial" w:cs="Arial"/>
          <w:sz w:val="24"/>
          <w:szCs w:val="24"/>
        </w:rPr>
        <w:t xml:space="preserve">Wir brauchen eine Ausbildungs- und Forschungsoffensive in allen Digitalisierungsfeldern. </w:t>
      </w:r>
      <w:r>
        <w:rPr>
          <w:rStyle w:val="xxt"/>
          <w:rFonts w:ascii="Arial" w:hAnsi="Arial" w:cs="Arial"/>
          <w:sz w:val="24"/>
          <w:szCs w:val="24"/>
        </w:rPr>
        <w:t xml:space="preserve">Als besonders wichtig erachten wir </w:t>
      </w:r>
      <w:r>
        <w:rPr>
          <w:rFonts w:ascii="Arial" w:hAnsi="Arial" w:cs="Arial"/>
          <w:sz w:val="24"/>
          <w:szCs w:val="24"/>
        </w:rPr>
        <w:t xml:space="preserve">Innovation, digitale Souveränität und Interdisziplinarität. Die Schwerpunkte der Mikroprozessortechnik und IT-Sicherheit wollen wir weiter stärken. Dazu kommen weitere </w:t>
      </w:r>
      <w:r>
        <w:rPr>
          <w:rFonts w:ascii="Arial" w:hAnsi="Arial" w:cs="Arial"/>
          <w:sz w:val="24"/>
          <w:szCs w:val="24"/>
        </w:rPr>
        <w:lastRenderedPageBreak/>
        <w:t>Forschungsschwerpunkte wie künstliche Intelligenz, Data Science, Digital Humanities sowie Blockchain-Technologie, Robotik und Quanten-Computing. Es gilt heute Data Science in allen Bereichen, insbesondere aber in den Hochschulen, auszubauen. Dazu muss der Umgang mit Daten zu einem zentralen eigenen Wissenschaftsfeld und einer eigenen Disziplin werden. Den digitalen Wandel als gesamtgesellschaftlichen Entwicklungs- und politischen Gestaltungsprozess begleiten wir u. a. mit der Arbeit des Weizenbaum Instituts.</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Gute digitale Arbeit 4.0</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Bundesregierung sieht sich in der Verantwortung, die Digitalisierung weiterhin aktiv und unter Einbeziehung der Sozialpartner zu gestalten. Weiterbildung ist der Schlüssel, damit die Beschäftigten sich den Herausforderungen der digitalen Arbeitswelt stellen und den sich immer schneller verändernden Qualifikationsanforderungen gerecht werden können.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mit allen Akteuren eine Nationale Weiterbildungsstrategie für Arbeitnehmer und Arbeitssuchende entwickeln, um alle Weiterbildungsprogramme des Bundes und der Länder zu bündeln und eine neue Weiterbildungskultur zu etablieren. Über die Bundesagentur für Arbeit erhalten alle Arbeitnehmerinnen und Arbeitnehmer ein Recht auf Weiterbildungsberatung. Wird ein Weiterbildungsbedarf jenseits der betrieblichen Weiterbildung festgestellt, sind Arbeitgeber und Arbeitnehmer gleichermaßen in der Verantwortung, diesem zu entsprechen. Dies wollen wir fördern, indem zukünftig Zuschüsse des Arbeitgebers zur Weiterbildung generell dann keinen Lohn oder geldwerten Vorteil darstellen, wenn sie der allgemeinen Beschäftigungsfähigkeit dienen.</w:t>
      </w:r>
    </w:p>
    <w:p w:rsidR="007F452D" w:rsidRDefault="007F452D">
      <w:pPr>
        <w:spacing w:after="0" w:line="240" w:lineRule="auto"/>
        <w:contextualSpacing/>
        <w:jc w:val="both"/>
        <w:rPr>
          <w:rFonts w:ascii="Arial" w:eastAsia="Arial" w:hAnsi="Arial" w:cs="Arial"/>
          <w:sz w:val="24"/>
          <w:szCs w:val="24"/>
          <w:shd w:val="clear" w:color="auto" w:fill="FFC000"/>
        </w:rPr>
      </w:pPr>
    </w:p>
    <w:p w:rsidR="007F452D" w:rsidRDefault="006007DF">
      <w:pPr>
        <w:spacing w:after="0" w:line="240" w:lineRule="auto"/>
        <w:contextualSpacing/>
        <w:jc w:val="both"/>
        <w:rPr>
          <w:rFonts w:ascii="Arial" w:hAnsi="Arial" w:cs="Arial"/>
          <w:sz w:val="24"/>
          <w:szCs w:val="24"/>
          <w:shd w:val="clear" w:color="auto" w:fill="FFFFFF"/>
        </w:rPr>
      </w:pPr>
      <w:r>
        <w:rPr>
          <w:rStyle w:val="s8"/>
          <w:rFonts w:ascii="Arial" w:hAnsi="Arial" w:cs="Arial"/>
          <w:sz w:val="24"/>
          <w:szCs w:val="24"/>
        </w:rPr>
        <w:t>Arbeitnehmer</w:t>
      </w:r>
      <w:r w:rsidR="00365F52">
        <w:rPr>
          <w:rStyle w:val="s8"/>
          <w:rFonts w:ascii="Arial" w:hAnsi="Arial" w:cs="Arial"/>
          <w:sz w:val="24"/>
          <w:szCs w:val="24"/>
        </w:rPr>
        <w:t>innen und Arbeitnehmer</w:t>
      </w:r>
      <w:r>
        <w:rPr>
          <w:rStyle w:val="s8"/>
          <w:rFonts w:ascii="Arial" w:hAnsi="Arial" w:cs="Arial"/>
          <w:sz w:val="24"/>
          <w:szCs w:val="24"/>
        </w:rPr>
        <w:t xml:space="preserve"> brauchen mehr Möglichkeiten, ihre berufliche Weiterentwicklung auch in Eigenverantwortung zu organisieren. Wir werden gemeinsam mit den Sozialpartnern prüfen, wie das Instrument der Langzeitkonten mehr Verbreitung finden kann. Sie können ebenso wie andere Guthaben ein Instrument sein, </w:t>
      </w:r>
      <w:r w:rsidR="00501DC6">
        <w:rPr>
          <w:rStyle w:val="s8"/>
          <w:rFonts w:ascii="Arial" w:hAnsi="Arial" w:cs="Arial"/>
          <w:sz w:val="24"/>
          <w:szCs w:val="24"/>
        </w:rPr>
        <w:t xml:space="preserve">das </w:t>
      </w:r>
      <w:r>
        <w:rPr>
          <w:rStyle w:val="s8"/>
          <w:rFonts w:ascii="Arial" w:hAnsi="Arial" w:cs="Arial"/>
          <w:sz w:val="24"/>
          <w:szCs w:val="24"/>
        </w:rPr>
        <w:t xml:space="preserve">für Qualifizierung genutzt werden </w:t>
      </w:r>
      <w:r w:rsidR="00501DC6">
        <w:rPr>
          <w:rStyle w:val="s8"/>
          <w:rFonts w:ascii="Arial" w:hAnsi="Arial" w:cs="Arial"/>
          <w:sz w:val="24"/>
          <w:szCs w:val="24"/>
        </w:rPr>
        <w:t>kann</w:t>
      </w:r>
      <w:r>
        <w:rPr>
          <w:rStyle w:val="s8"/>
          <w:rFonts w:ascii="Arial" w:hAnsi="Arial" w:cs="Arial"/>
          <w:sz w:val="24"/>
          <w:szCs w:val="24"/>
        </w:rPr>
        <w:t xml:space="preserve">. Wir werden neue Finanzierungsformen für außerbetriebliche Weiterbildung prüfen, die in Modellversuchen erprobt werden sollen. </w:t>
      </w:r>
      <w:r>
        <w:rPr>
          <w:rFonts w:ascii="Arial" w:hAnsi="Arial" w:cs="Arial"/>
          <w:sz w:val="24"/>
          <w:szCs w:val="24"/>
        </w:rPr>
        <w:t>Betrieblicher Mitbestimmung kommt auch im digitalen Wandel große Bedeutung zu. Das</w:t>
      </w:r>
      <w:r>
        <w:rPr>
          <w:rFonts w:ascii="Arial" w:hAnsi="Arial" w:cs="Arial"/>
          <w:sz w:val="24"/>
          <w:szCs w:val="24"/>
          <w:shd w:val="clear" w:color="auto" w:fill="FFFFFF"/>
        </w:rPr>
        <w:t xml:space="preserve"> allgemeine Initiativrecht der Betriebsräte für Weiterbildung werden wir stärken.</w:t>
      </w:r>
    </w:p>
    <w:p w:rsidR="007F452D" w:rsidRDefault="007F452D">
      <w:pPr>
        <w:spacing w:after="0" w:line="240" w:lineRule="auto"/>
        <w:contextualSpacing/>
        <w:jc w:val="both"/>
        <w:rPr>
          <w:rFonts w:ascii="Arial" w:eastAsia="Arial" w:hAnsi="Arial" w:cs="Arial"/>
          <w:sz w:val="24"/>
          <w:szCs w:val="24"/>
          <w:shd w:val="clear" w:color="auto" w:fill="FFFFFF"/>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einen Rahmen schaffen, in dem Unternehmen, Beschäftigte und die Tarifpartner den vielfältigen Wünschen und Anforderungen in der Arbeitszeitgestaltung gerecht werden können. Wir wollen Familien in ihrem Anliegen unterstützen, mehr Zeit füreinander zu haben und die Partnerschaftlichkeit zu stärken. Wir werden dazu Modelle entwickeln, mit denen mehr Spielraum für Familienzeit geschaffen werden kann. Die Chancen der Digitalisierung wollen wir nutzen, um den Beschäftigten mehr Zeitsouveränität zu ermöglichen.</w:t>
      </w:r>
    </w:p>
    <w:p w:rsidR="007F452D" w:rsidRDefault="007F452D">
      <w:pPr>
        <w:spacing w:after="0" w:line="240" w:lineRule="auto"/>
        <w:contextualSpacing/>
        <w:jc w:val="both"/>
        <w:rPr>
          <w:rFonts w:ascii="Arial" w:eastAsia="Arial" w:hAnsi="Arial" w:cs="Arial"/>
          <w:sz w:val="24"/>
          <w:szCs w:val="24"/>
          <w:shd w:val="clear" w:color="auto" w:fill="FFCF3F"/>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mobile Arbeit fördern und erleichtern. Dazu werden wir einen rechtlichen Rahmen schaffen. Zu diesem gehört auch ein Auskunftsanspruch der Arbeitnehmer gegenüber ihrem Arbeitgeber über die Entscheidungsgründe der Ablehnung sowie Rechtssicherheit für Arbeitnehmer wie Arbeitgeber im Umgang mit privat genutzter Firmentechnik. Auch die Tarifpartner sollen Vereinbarungen zu mobiler Arbeit treffen.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Arbeitsschutz und Innovation wollen wir zusammen denken. Deutschland soll zu einem führenden Markt für Assistenzsysteme werden, die Inklusion ermöglichen sowie lern- und gesundheitsförderlich sind. Daher wird ein Anwendungsprogramm „Assistenzsysteme für kleine und mittlere Unternehmen“ aufgelegt.</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Einführung digitaler Arbeitsprozesse wie die E-Akte führen zu mehr Transparenz. Dadurch können zum einen Steuerungsinstrumente zur Optimierung entwickelt werden, und zum anderen besteht die Sorge vor dem gläsernen Mitarbeiter. Daher wollen wir Klarheit über Rechte und Pflichten der Arbeitgeberinnen und Arbeitgeber, der Arbeitnehmerinnen und Arbeitnehmer schaffen sowie die Persönlichkeitsrechte der Beschäftigten sicherstellen (Beschäftigtendatenschutz).</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Das Statusfeststellungsverfahren für Selbstständige wollen wir vereinfachen und zwischen den unterschiedlichen Zweigen der Sozialversicherung widerspruchsfrei ausgestalten.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Wettbewerbsfähige Wirtschaft</w:t>
      </w:r>
    </w:p>
    <w:p w:rsidR="007F452D" w:rsidRDefault="006007DF">
      <w:pPr>
        <w:shd w:val="clear" w:color="auto" w:fill="FFFFFF"/>
        <w:spacing w:after="0" w:line="240" w:lineRule="auto"/>
        <w:ind w:right="-112"/>
        <w:contextualSpacing/>
        <w:jc w:val="both"/>
        <w:rPr>
          <w:rFonts w:ascii="Arial" w:eastAsia="Times New Roman" w:hAnsi="Arial" w:cs="Arial"/>
          <w:sz w:val="24"/>
          <w:szCs w:val="24"/>
          <w:lang w:eastAsia="de-DE"/>
        </w:rPr>
      </w:pPr>
      <w:r>
        <w:rPr>
          <w:rFonts w:ascii="Arial" w:eastAsia="Times New Roman" w:hAnsi="Arial" w:cs="Arial"/>
          <w:iCs/>
          <w:sz w:val="24"/>
          <w:szCs w:val="24"/>
          <w:lang w:eastAsia="de-DE"/>
        </w:rPr>
        <w:t>Wir fördern die Gründungskultur in Deutschland, indem wir etwa im ersten Jahr der Gründung die Bürokratiebelastung auf ein Mindestmaß reduzieren und die Bedingungen für Wagniskapital verbessern.</w:t>
      </w:r>
    </w:p>
    <w:p w:rsidR="007F452D" w:rsidRDefault="007F452D">
      <w:pPr>
        <w:pStyle w:val="NurText"/>
        <w:ind w:right="-108"/>
        <w:contextualSpacing/>
        <w:jc w:val="both"/>
        <w:rPr>
          <w:rFonts w:ascii="Arial" w:hAnsi="Arial" w:cs="Arial"/>
          <w:sz w:val="24"/>
          <w:szCs w:val="24"/>
        </w:rPr>
      </w:pPr>
    </w:p>
    <w:p w:rsidR="007F452D" w:rsidRDefault="006007DF">
      <w:pPr>
        <w:pStyle w:val="NurText"/>
        <w:ind w:right="-108"/>
        <w:contextualSpacing/>
        <w:jc w:val="both"/>
        <w:rPr>
          <w:rFonts w:ascii="Arial" w:hAnsi="Arial" w:cs="Arial"/>
          <w:sz w:val="24"/>
          <w:szCs w:val="24"/>
        </w:rPr>
      </w:pPr>
      <w:r>
        <w:rPr>
          <w:rFonts w:ascii="Arial" w:hAnsi="Arial" w:cs="Arial"/>
          <w:sz w:val="24"/>
          <w:szCs w:val="24"/>
        </w:rPr>
        <w:t xml:space="preserve">Wir wollen, dass Unternehmen etwa mit Hilfe eines „One-Stop-Shop“ und mehr Transparenz in der Förderlandschaft schnell und unbürokratisch gegründet werden können. Wir werden Hürden für den Gründungsprozess abbauen und prüfen Anpassungen im Insolvenzrecht. </w:t>
      </w:r>
    </w:p>
    <w:p w:rsidR="007F452D" w:rsidRDefault="007F452D">
      <w:pPr>
        <w:pStyle w:val="NurText"/>
        <w:ind w:right="-108"/>
        <w:contextualSpacing/>
        <w:jc w:val="both"/>
        <w:rPr>
          <w:rFonts w:ascii="Arial" w:hAnsi="Arial" w:cs="Arial"/>
          <w:sz w:val="24"/>
          <w:szCs w:val="24"/>
        </w:rPr>
      </w:pPr>
    </w:p>
    <w:p w:rsidR="007F452D" w:rsidRDefault="006007DF">
      <w:pPr>
        <w:pStyle w:val="NurText"/>
        <w:ind w:right="-108"/>
        <w:contextualSpacing/>
        <w:jc w:val="both"/>
        <w:rPr>
          <w:rFonts w:ascii="Arial" w:hAnsi="Arial" w:cs="Arial"/>
          <w:sz w:val="24"/>
          <w:szCs w:val="24"/>
        </w:rPr>
      </w:pPr>
      <w:r>
        <w:rPr>
          <w:rFonts w:ascii="Arial" w:hAnsi="Arial" w:cs="Arial"/>
          <w:sz w:val="24"/>
          <w:szCs w:val="24"/>
        </w:rPr>
        <w:t xml:space="preserve">Familie und Unternehmensgründung sollen in Zukunft besser vereinbar sein. Um Gründungen aus der Beschäftigung zu erleichtern, prüfen wir die Einführung einer Gründerzeit ähnlich der Familienpflegezeit. Eltern in der unternehmerischen Gründungsphase wollen wir unterstützen, z. B. mit der Möglichkeit der Inanspruchnahme von Zuschüssen für haushaltsnahe Dienstleistungen. Wir wollen, dass mehr Frauen Gründerinnen werden und entwickeln dafür Unterstützungsinstrumente. </w:t>
      </w:r>
    </w:p>
    <w:p w:rsidR="007F452D" w:rsidRDefault="007F452D">
      <w:pPr>
        <w:pStyle w:val="NurText"/>
        <w:ind w:right="-108"/>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Bestehende Instrumente zur Finanzierung von Gründungen und Wachstum junger Unternehmen wollen wir fortführen, weiterentwickeln und wo passend auch für Nicht-Akademiker öffnen (u. a. EIF, INVEST-Zuschuss Wagniskapital, EXIST, KfW, Hightech-Gründerfonds) und um neue Instrumente wie den Tech Growth Fund ergänzen. Mit dem Tech Growth Fund wollen wir die staatlichen Finanzierungsinstrumente in der Wachstumsphase ergänzen, indem wir Kredite als VentureDebt zur Verfügung stellen.</w:t>
      </w:r>
    </w:p>
    <w:p w:rsidR="007F452D" w:rsidRDefault="007F452D">
      <w:pPr>
        <w:spacing w:after="0" w:line="240" w:lineRule="auto"/>
        <w:contextualSpacing/>
        <w:jc w:val="both"/>
        <w:rPr>
          <w:rFonts w:ascii="Arial" w:hAnsi="Arial" w:cs="Arial"/>
          <w:sz w:val="24"/>
          <w:szCs w:val="24"/>
        </w:rPr>
      </w:pPr>
    </w:p>
    <w:p w:rsidR="007F452D" w:rsidRDefault="006007DF">
      <w:pPr>
        <w:pStyle w:val="NurText"/>
        <w:ind w:right="29"/>
        <w:contextualSpacing/>
        <w:jc w:val="both"/>
        <w:rPr>
          <w:rFonts w:ascii="Arial" w:hAnsi="Arial" w:cs="Arial"/>
          <w:sz w:val="24"/>
          <w:szCs w:val="24"/>
        </w:rPr>
      </w:pPr>
      <w:r>
        <w:rPr>
          <w:rFonts w:ascii="Arial" w:hAnsi="Arial" w:cs="Arial"/>
          <w:sz w:val="24"/>
          <w:szCs w:val="24"/>
        </w:rPr>
        <w:t xml:space="preserve">Wir werden die Investitionsbereitschaft in Wachstumsunternehmen erhöhen und hier die richtigen Rahmenbedingungen schaffen. </w:t>
      </w:r>
      <w:r>
        <w:rPr>
          <w:rStyle w:val="xxt"/>
          <w:rFonts w:ascii="Arial" w:hAnsi="Arial" w:cs="Arial"/>
          <w:sz w:val="24"/>
          <w:szCs w:val="24"/>
        </w:rPr>
        <w:t xml:space="preserve">Wir wollen, dass Ideen aus Deutschland auch mit Kapital aus Deutschland finanziert werden können. Deshalb wollen wir mehr privates Kapital sowie institutionelle Anleger für Investitionen in Start-ups. Gemeinsam mit der deutschen Industrie wollen wir die Auflage eines großen nationalen Digitalfonds initiieren. </w:t>
      </w:r>
    </w:p>
    <w:p w:rsidR="007F452D" w:rsidRDefault="007F452D">
      <w:pPr>
        <w:spacing w:after="0" w:line="240" w:lineRule="auto"/>
        <w:ind w:right="29"/>
        <w:contextualSpacing/>
        <w:jc w:val="both"/>
        <w:rPr>
          <w:rStyle w:val="xxt"/>
          <w:rFonts w:ascii="Arial" w:hAnsi="Arial" w:cs="Arial"/>
          <w:sz w:val="24"/>
          <w:szCs w:val="24"/>
        </w:rPr>
      </w:pPr>
    </w:p>
    <w:p w:rsidR="007F452D" w:rsidRDefault="006007DF">
      <w:pPr>
        <w:shd w:val="clear" w:color="auto" w:fill="FFFFFF"/>
        <w:spacing w:after="0" w:line="240" w:lineRule="auto"/>
        <w:contextualSpacing/>
        <w:jc w:val="both"/>
        <w:rPr>
          <w:rFonts w:ascii="Arial" w:eastAsia="Times New Roman" w:hAnsi="Arial" w:cs="Arial"/>
          <w:sz w:val="24"/>
          <w:szCs w:val="24"/>
          <w:lang w:eastAsia="de-DE"/>
        </w:rPr>
      </w:pPr>
      <w:r>
        <w:rPr>
          <w:rStyle w:val="xxt"/>
          <w:rFonts w:ascii="Arial" w:hAnsi="Arial" w:cs="Arial"/>
          <w:sz w:val="24"/>
          <w:szCs w:val="24"/>
        </w:rPr>
        <w:t xml:space="preserve">Social Entrepreneurship spielt bei der Lösung aktueller gesellschaftlicher und sozialer Herausforderungen eine zunehmend wichtige Rolle. Social Entrepreneurship </w:t>
      </w:r>
      <w:r>
        <w:rPr>
          <w:rFonts w:ascii="Arial" w:eastAsia="Times New Roman" w:hAnsi="Arial" w:cs="Arial"/>
          <w:sz w:val="24"/>
          <w:szCs w:val="24"/>
          <w:lang w:eastAsia="de-DE"/>
        </w:rPr>
        <w:t>wollen wir noch stärker als bisher fördern und unterstützen.</w:t>
      </w:r>
    </w:p>
    <w:p w:rsidR="007F452D" w:rsidRDefault="006007DF">
      <w:pPr>
        <w:shd w:val="clear" w:color="auto" w:fill="FFFFFF"/>
        <w:spacing w:after="0" w:line="240" w:lineRule="auto"/>
        <w:contextualSpacing/>
        <w:jc w:val="both"/>
        <w:rPr>
          <w:rStyle w:val="xxt"/>
          <w:rFonts w:ascii="Arial" w:hAnsi="Arial" w:cs="Arial"/>
          <w:sz w:val="24"/>
          <w:szCs w:val="24"/>
        </w:rPr>
      </w:pPr>
      <w:r>
        <w:rPr>
          <w:rFonts w:ascii="Arial" w:eastAsia="Times New Roman" w:hAnsi="Arial" w:cs="Arial"/>
          <w:sz w:val="24"/>
          <w:szCs w:val="24"/>
          <w:lang w:eastAsia="de-DE"/>
        </w:rPr>
        <w:lastRenderedPageBreak/>
        <w:t xml:space="preserve">Wir setzen uns für einheitliche Regelungen im digitalen Binnenmarkt ein, um die Gründungskultur in Europa zu stärken. Wir werden mehr als bisher auf die einheitliche Anwendung von Unionsrecht drängen. </w:t>
      </w:r>
      <w:r>
        <w:rPr>
          <w:rStyle w:val="xxt"/>
          <w:rFonts w:ascii="Arial" w:hAnsi="Arial" w:cs="Arial"/>
          <w:sz w:val="24"/>
          <w:szCs w:val="24"/>
        </w:rPr>
        <w:t>Auf europäischer Ebene wollen wir uns für eine einheitliche Europäische Start-up Definition einsetzen, um spezielle zielgenaue Fördermaßnahmen zu ermöglichen.</w:t>
      </w:r>
    </w:p>
    <w:p w:rsidR="007F452D" w:rsidRDefault="007F452D">
      <w:pPr>
        <w:spacing w:after="0" w:line="240" w:lineRule="auto"/>
        <w:contextualSpacing/>
        <w:jc w:val="both"/>
        <w:rPr>
          <w:rFonts w:ascii="Arial" w:hAnsi="Arial" w:cs="Arial"/>
          <w:sz w:val="24"/>
          <w:szCs w:val="24"/>
          <w:lang w:eastAsia="de-DE"/>
        </w:rPr>
      </w:pPr>
    </w:p>
    <w:p w:rsidR="007F452D" w:rsidRDefault="006007DF">
      <w:pPr>
        <w:spacing w:after="0" w:line="240" w:lineRule="auto"/>
        <w:contextualSpacing/>
        <w:jc w:val="both"/>
        <w:rPr>
          <w:rFonts w:ascii="Arial" w:hAnsi="Arial" w:cs="Arial"/>
          <w:sz w:val="24"/>
          <w:szCs w:val="24"/>
          <w:lang w:eastAsia="de-DE"/>
        </w:rPr>
      </w:pPr>
      <w:r>
        <w:rPr>
          <w:rFonts w:ascii="Arial" w:hAnsi="Arial" w:cs="Arial"/>
          <w:sz w:val="24"/>
          <w:szCs w:val="24"/>
          <w:lang w:eastAsia="de-DE"/>
        </w:rPr>
        <w:t xml:space="preserve">Freier und sicherer Datenaustausch mit anderen Wirtschaftsräumen ist eine Grundvoraussetzung für den Erfolg der deutschen und europäischen Digitalwirtschaft. Wir wollen den transatlantischen Datenaustausch auf Grundlage des EU/US-Privacy-Shield erhalten. Gleichzeitig werden wir uns auf europäischer Ebene dafür einsetzen, entsprechende wirksame Abkommen zum Schutz des Datenaustausches auch mit anderen Weltregionen anzustreben.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insbesondere den Mittelstand auf dem Weg in die Digitalisierung unterstützen. Deswegen wollen wir die Digital Hub Initiative fortsetzen und ausbauen. Den Austausch zwischen Mittelstand und Gründern wollen wir systematisch fördern, z. B. durch Austauschprogramme, Ausbau der Kompetenzzentren, Informationsprogramme wie Breitband@Mittelstand oder Mentoringprogramme.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Wir werden prüfen, inwieweit Förderprogramme für technologische Innovationen auch auf datengetriebene Geschäftsmodelle ausgeweitet werden können, wie z. B. das erfolgreiche Zentrale Innovationsprogramm Mittelstand (ZIM).</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Times New Roman" w:hAnsi="Arial" w:cs="Arial"/>
          <w:sz w:val="24"/>
          <w:szCs w:val="24"/>
          <w:lang w:eastAsia="de-DE"/>
        </w:rPr>
      </w:pPr>
      <w:r>
        <w:rPr>
          <w:rFonts w:ascii="Arial" w:hAnsi="Arial" w:cs="Arial"/>
          <w:sz w:val="24"/>
          <w:szCs w:val="24"/>
          <w:lang w:eastAsia="de-DE"/>
        </w:rPr>
        <w:t>Wir wollen eine bessere Unterstützung insbesondere des Mittelstandes bei IT-Sicherheit. Es gilt, das Bundesamt für Sicherheit in der Informationstechnik (BSI) als Beratungsstelle für kleine und mittlere Unternehmen auszubauen, Investitionen in IT-Sicherheit besser zu fördern und das IT-Sicherheitsgesetz weiterzuentwickeln.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Style w:val="xxt"/>
          <w:rFonts w:ascii="Arial" w:hAnsi="Arial" w:cs="Arial"/>
          <w:sz w:val="24"/>
          <w:szCs w:val="24"/>
        </w:rPr>
      </w:pPr>
      <w:r>
        <w:rPr>
          <w:rStyle w:val="xxt"/>
          <w:rFonts w:ascii="Arial" w:hAnsi="Arial" w:cs="Arial"/>
          <w:sz w:val="24"/>
          <w:szCs w:val="24"/>
        </w:rPr>
        <w:t xml:space="preserve">Für </w:t>
      </w:r>
      <w:r>
        <w:rPr>
          <w:rFonts w:ascii="Arial" w:hAnsi="Arial" w:cs="Arial"/>
          <w:sz w:val="24"/>
          <w:szCs w:val="24"/>
          <w:lang w:eastAsia="de-DE"/>
        </w:rPr>
        <w:t>kleine und mittlere Unternehmen</w:t>
      </w:r>
      <w:r>
        <w:rPr>
          <w:rStyle w:val="xxt"/>
          <w:rFonts w:ascii="Arial" w:hAnsi="Arial" w:cs="Arial"/>
          <w:sz w:val="24"/>
          <w:szCs w:val="24"/>
        </w:rPr>
        <w:t xml:space="preserve"> bieten die intelligenten, digitalen Produktionsverfahren der Industrie 4.0 große Chancen. Die Entwicklung gemeinsamer globaler Standards und Normen muss vorangetrieben werden.</w:t>
      </w:r>
      <w:r>
        <w:rPr>
          <w:rFonts w:ascii="Arial" w:hAnsi="Arial" w:cs="Arial"/>
          <w:sz w:val="24"/>
          <w:szCs w:val="24"/>
        </w:rPr>
        <w:t xml:space="preserve"> </w:t>
      </w:r>
    </w:p>
    <w:p w:rsidR="007F452D" w:rsidRDefault="007F452D">
      <w:pPr>
        <w:spacing w:after="0" w:line="240" w:lineRule="auto"/>
        <w:contextualSpacing/>
        <w:jc w:val="both"/>
        <w:rPr>
          <w:rStyle w:val="xxt"/>
          <w:rFonts w:ascii="Arial" w:hAnsi="Arial" w:cs="Arial"/>
          <w:sz w:val="24"/>
          <w:szCs w:val="24"/>
        </w:rPr>
      </w:pPr>
    </w:p>
    <w:p w:rsidR="007F452D" w:rsidRDefault="006007DF">
      <w:pPr>
        <w:spacing w:after="0" w:line="240" w:lineRule="auto"/>
        <w:contextualSpacing/>
        <w:jc w:val="both"/>
        <w:rPr>
          <w:rStyle w:val="xxt"/>
          <w:rFonts w:ascii="Arial" w:hAnsi="Arial" w:cs="Arial"/>
          <w:sz w:val="24"/>
          <w:szCs w:val="24"/>
        </w:rPr>
      </w:pPr>
      <w:r>
        <w:rPr>
          <w:rFonts w:ascii="Arial" w:hAnsi="Arial" w:cs="Arial"/>
          <w:sz w:val="24"/>
          <w:szCs w:val="24"/>
        </w:rPr>
        <w:t xml:space="preserve">Wir werden prüfen, inwieweit wir eine Erweiterung der Gemeinschaftsaufgaben „Regionale Wirtschaftsförderung“ um Digitalisierung in der Fläche erreichen. Wir wollen eine </w:t>
      </w:r>
      <w:r>
        <w:rPr>
          <w:rStyle w:val="xxt"/>
          <w:rFonts w:ascii="Arial" w:hAnsi="Arial" w:cs="Arial"/>
          <w:sz w:val="24"/>
          <w:szCs w:val="24"/>
        </w:rPr>
        <w:t xml:space="preserve">Plattform von Verbänden, Mittelstand, Kammern (IHK, HWK) und Plattform Industrie 4.0, um die Akteure gezielt zu vernetzen und um zielgruppenspezifische Angebote zu erarbeiten, u. a. </w:t>
      </w:r>
      <w:r>
        <w:rPr>
          <w:rFonts w:ascii="Arial" w:eastAsia="Times New Roman" w:hAnsi="Arial" w:cs="Arial"/>
          <w:sz w:val="24"/>
          <w:szCs w:val="24"/>
          <w:lang w:eastAsia="de-DE"/>
        </w:rPr>
        <w:t>Co-Working-, Gründer- und Maker-Zentren</w:t>
      </w:r>
      <w:r>
        <w:rPr>
          <w:rStyle w:val="xxt"/>
          <w:rFonts w:ascii="Arial" w:hAnsi="Arial" w:cs="Arial"/>
          <w:sz w:val="24"/>
          <w:szCs w:val="24"/>
        </w:rPr>
        <w:t xml:space="preserve">. </w:t>
      </w:r>
    </w:p>
    <w:p w:rsidR="007F452D" w:rsidRDefault="007F452D">
      <w:pPr>
        <w:spacing w:after="0" w:line="240" w:lineRule="auto"/>
        <w:contextualSpacing/>
        <w:jc w:val="both"/>
        <w:rPr>
          <w:rFonts w:ascii="Arial" w:eastAsia="Times New Roman" w:hAnsi="Arial" w:cs="Arial"/>
          <w:sz w:val="24"/>
          <w:szCs w:val="24"/>
          <w:lang w:eastAsia="de-DE"/>
        </w:rPr>
      </w:pPr>
    </w:p>
    <w:p w:rsidR="007F452D" w:rsidRDefault="006007DF">
      <w:pPr>
        <w:spacing w:after="0" w:line="240" w:lineRule="auto"/>
        <w:ind w:right="29"/>
        <w:contextualSpacing/>
        <w:jc w:val="both"/>
        <w:rPr>
          <w:rStyle w:val="xxt"/>
          <w:rFonts w:ascii="Arial" w:hAnsi="Arial" w:cs="Arial"/>
          <w:sz w:val="24"/>
          <w:szCs w:val="24"/>
        </w:rPr>
      </w:pPr>
      <w:r>
        <w:rPr>
          <w:rStyle w:val="xxt"/>
          <w:rFonts w:ascii="Arial" w:hAnsi="Arial" w:cs="Arial"/>
          <w:sz w:val="24"/>
          <w:szCs w:val="24"/>
        </w:rPr>
        <w:t>Wir werden gemeinsam mit unseren französischen Partnern ein Zentrum für künstliche Intelligenz errichten</w:t>
      </w:r>
      <w:r>
        <w:rPr>
          <w:rStyle w:val="xxt"/>
          <w:rFonts w:ascii="Arial" w:hAnsi="Arial" w:cs="Arial"/>
          <w:b/>
          <w:sz w:val="24"/>
          <w:szCs w:val="24"/>
        </w:rPr>
        <w:t xml:space="preserve">. </w:t>
      </w:r>
      <w:r>
        <w:rPr>
          <w:rStyle w:val="xxt"/>
          <w:rFonts w:ascii="Arial" w:hAnsi="Arial" w:cs="Arial"/>
          <w:sz w:val="24"/>
          <w:szCs w:val="24"/>
        </w:rPr>
        <w:t>Dies verbinden wir mit einem Masterplan „Künstliche Intelligenz“ auf nationaler Ebene.</w:t>
      </w:r>
    </w:p>
    <w:p w:rsidR="007F452D" w:rsidRDefault="007F452D">
      <w:pPr>
        <w:spacing w:after="0" w:line="240" w:lineRule="auto"/>
        <w:ind w:right="33"/>
        <w:contextualSpacing/>
        <w:jc w:val="both"/>
        <w:rPr>
          <w:rFonts w:ascii="Arial" w:eastAsia="Times New Roman" w:hAnsi="Arial" w:cs="Arial"/>
          <w:sz w:val="24"/>
          <w:szCs w:val="24"/>
          <w:lang w:eastAsia="de-DE"/>
        </w:rPr>
      </w:pPr>
    </w:p>
    <w:p w:rsidR="007F452D" w:rsidRDefault="006007DF">
      <w:pPr>
        <w:spacing w:after="0" w:line="240" w:lineRule="auto"/>
        <w:ind w:right="33"/>
        <w:contextualSpacing/>
        <w:jc w:val="both"/>
        <w:rPr>
          <w:rFonts w:ascii="Arial" w:eastAsia="Times New Roman" w:hAnsi="Arial" w:cs="Arial"/>
          <w:iCs/>
          <w:sz w:val="24"/>
          <w:szCs w:val="24"/>
          <w:lang w:eastAsia="de-DE"/>
        </w:rPr>
      </w:pPr>
      <w:r>
        <w:rPr>
          <w:rFonts w:ascii="Arial" w:eastAsia="Times New Roman" w:hAnsi="Arial" w:cs="Arial"/>
          <w:iCs/>
          <w:sz w:val="24"/>
          <w:szCs w:val="24"/>
          <w:lang w:eastAsia="de-DE"/>
        </w:rPr>
        <w:t>Im Rahmen eines Bürokratieabbaugesetzes III werden wir insbesondere die Statistikpflichten verringern. Wir schaffen Strukturen, die Neugründer und Nachfolger in der Start- und Übergangsphase unterstützen. Europäische Vorgaben werden wir nicht mit zusätzlichen bürokratischen Belastungen versehen. Auf europäischer Ebene setzen wir uns für die Einführung des Prinzips „One in, one out“ ein.</w:t>
      </w:r>
    </w:p>
    <w:p w:rsidR="007F452D" w:rsidRDefault="007F452D">
      <w:pPr>
        <w:spacing w:after="0" w:line="240" w:lineRule="auto"/>
        <w:ind w:right="33"/>
        <w:contextualSpacing/>
        <w:jc w:val="both"/>
        <w:rPr>
          <w:rFonts w:ascii="Arial" w:eastAsia="Times New Roman" w:hAnsi="Arial" w:cs="Arial"/>
          <w:iCs/>
          <w:sz w:val="24"/>
          <w:szCs w:val="24"/>
          <w:lang w:eastAsia="de-DE"/>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Auch eine kohärente Regulierung und Aufsicht sollen dazu beitragen, Deutschlands Rolle als einer der führenden Digitalisierungs- und FinTech-Standorte zu stärken. Wir werden unnötige bürokratische Hemmnisse beseitigen und dafür sorgen, dass Ge</w:t>
      </w:r>
      <w:r>
        <w:rPr>
          <w:rFonts w:ascii="Arial" w:hAnsi="Arial" w:cs="Arial"/>
          <w:sz w:val="24"/>
          <w:szCs w:val="24"/>
        </w:rPr>
        <w:lastRenderedPageBreak/>
        <w:t>schäfte mit gleichen Risiken auch gleich reguliert werden. Um das Potenzial der Blockchain-Technologie zu erschließen und Missbrauchsmöglichkeiten zu verhindern, wollen wir eine umfassende Blockchain-Strategie entwickeln und uns für einen angemessenen Rechtsrahmen für den Handel mit Kryptowährungen und Token auf europäischer und internationaler Ebene einsetzen. Die Möglichkeiten der bargeldlosen Zahlung sollen im digitalen Zeitalter erweitert werden. Anonymes Bezahlen mit Bargeld muss weiterhin möglich bleiben.</w:t>
      </w:r>
    </w:p>
    <w:p w:rsidR="007F452D" w:rsidRDefault="006007DF">
      <w:pPr>
        <w:spacing w:after="0" w:line="240" w:lineRule="auto"/>
        <w:ind w:right="537"/>
        <w:contextualSpacing/>
        <w:jc w:val="both"/>
        <w:rPr>
          <w:rFonts w:ascii="Arial" w:hAnsi="Arial" w:cs="Arial"/>
          <w:sz w:val="24"/>
          <w:szCs w:val="24"/>
        </w:rPr>
      </w:pPr>
      <w:r>
        <w:rPr>
          <w:rFonts w:ascii="Arial" w:hAnsi="Arial" w:cs="Arial"/>
          <w:sz w:val="24"/>
          <w:szCs w:val="24"/>
        </w:rPr>
        <w:t xml:space="preserve"> </w:t>
      </w:r>
    </w:p>
    <w:p w:rsidR="007F452D" w:rsidRDefault="006007DF">
      <w:pPr>
        <w:spacing w:after="0" w:line="240" w:lineRule="auto"/>
        <w:contextualSpacing/>
        <w:jc w:val="both"/>
        <w:rPr>
          <w:rStyle w:val="xxt"/>
          <w:rFonts w:ascii="Arial" w:hAnsi="Arial" w:cs="Arial"/>
          <w:sz w:val="24"/>
          <w:szCs w:val="24"/>
        </w:rPr>
      </w:pPr>
      <w:r>
        <w:rPr>
          <w:rStyle w:val="xxt"/>
          <w:rFonts w:ascii="Arial" w:hAnsi="Arial" w:cs="Arial"/>
          <w:sz w:val="24"/>
          <w:szCs w:val="24"/>
        </w:rPr>
        <w:t xml:space="preserve">Dort, wo erforderlich, werden wir das Kartellrecht modernisieren, um exzellente regulatorische Rahmenbedingungen für die deutsche und europäische Digitalwirtschaft zu schaffen. Dazu gehören auch die Verfahrensbeschleunigung und eine Neufassung der Marktabgrenzung, um der Entwicklung der Plattformökonomie Rechnung zu tragen und die Wettbewerbsfähigkeit der deutschen Wirtschaft sicherzustellen. </w:t>
      </w:r>
      <w:r>
        <w:rPr>
          <w:rFonts w:ascii="Arial" w:hAnsi="Arial" w:cs="Arial"/>
          <w:sz w:val="24"/>
          <w:szCs w:val="24"/>
        </w:rPr>
        <w:t>Dazu werden wir die Marktbeobachtung verstärken und durch spezialisiertes Personal intensivieren.</w:t>
      </w:r>
    </w:p>
    <w:p w:rsidR="007F452D" w:rsidRDefault="007F452D">
      <w:pPr>
        <w:spacing w:after="0" w:line="240" w:lineRule="auto"/>
        <w:contextualSpacing/>
        <w:jc w:val="both"/>
        <w:rPr>
          <w:rStyle w:val="xxt"/>
          <w:rFonts w:ascii="Arial" w:hAnsi="Arial" w:cs="Arial"/>
          <w:sz w:val="24"/>
          <w:szCs w:val="24"/>
        </w:rPr>
      </w:pPr>
    </w:p>
    <w:p w:rsidR="007F452D" w:rsidRDefault="006007DF">
      <w:pPr>
        <w:pStyle w:val="NurText"/>
        <w:ind w:right="30"/>
        <w:contextualSpacing/>
        <w:jc w:val="both"/>
        <w:rPr>
          <w:rFonts w:ascii="Arial" w:hAnsi="Arial" w:cs="Arial"/>
          <w:sz w:val="24"/>
          <w:szCs w:val="24"/>
        </w:rPr>
      </w:pPr>
      <w:r>
        <w:rPr>
          <w:rFonts w:ascii="Arial" w:hAnsi="Arial" w:cs="Arial"/>
          <w:sz w:val="24"/>
          <w:szCs w:val="24"/>
        </w:rPr>
        <w:t xml:space="preserve">Unser Ziel sind starke deutsche und europäische Akteure der Plattformökonomie, deshalb wollen wir vorhandene Hemmnisse abbauen. Wir setzen uns für ein level playing field ein, dazu gehören auch die Rechte von Beschäftigten und Verbrauchern. Dazu werden wir die Mitwirkung der Plattformen einfordern. </w:t>
      </w:r>
    </w:p>
    <w:p w:rsidR="007F452D" w:rsidRDefault="007F452D">
      <w:pPr>
        <w:pStyle w:val="NurText"/>
        <w:ind w:right="30"/>
        <w:contextualSpacing/>
        <w:jc w:val="both"/>
        <w:rPr>
          <w:rStyle w:val="xxt"/>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Mit Blick auf vergleichbare europäische Länderförderungen und im Interesse eines level playing fields wollen wir eine Förderung von Games zur Entwicklung hochwertiger digitaler Spiele einführen, um den Entwicklerstandort Deutschland zu stärken und international wettbewerbsfähig zu machen.</w:t>
      </w:r>
    </w:p>
    <w:p w:rsidR="007F452D" w:rsidRDefault="007F452D">
      <w:pPr>
        <w:spacing w:after="0" w:line="240" w:lineRule="auto"/>
        <w:ind w:right="537"/>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Sicheres Leben in Deutschland – auch online</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Damit Bürgerinnen und Bürger, Unternehmen und Institutionen die Potenziale der Digitalisierung wahrnehmen, braucht es ein grundlegendes Vertrauen in die Sicherheit und Vertraulichkeit von Kommunikation, Daten und IT-Strukturen.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In einem Nationalen Pakt Cybersicherheit werden wir alle gesellschaftlich relevanten Gruppen, Hersteller, Anbieter und Anwender sowie die öffentliche Verwaltung in gemeinsamer Verantwortung für digitale Sicherheit einbinden. Ein Cyberbündnis mit der Wirtschaft soll bestehende Strukturen bündeln; die vertrauensvolle Zusammenarbeit von Staat und Wirtschaft wird ausgebaut. Zur Abwehr von Gefahren des Cyberraums werden wir die Sensibilisierung von Bürgerinnen und Bürgern sowie Kleinunternehmen zielgruppenspezifisch intensivieren.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das IT-Sicherheitsgesetz fortschreiben und den Ordnungsrahmen erweitern, um den neuen Gefährdungen angemessen zu begegnen. Wir wollen das BSI als nationale Cybersicherheitsbehörde ausbauen und in seiner Rolle als unabhängige und neutrale Beratungsstelle für Fragen der IT-Sicherheit stärken. Die Aufgaben des BSI werden wir im BSI-Gesetz konkretisieren. Die Beratungs- und Unterstützungsangebote des BSI für Bund und Länder, für Unternehmen und Einrichtungen sowie für Bürgerinnen und Bürger wollen wir ausbauen, den Verbraucherschutz als zusätzliche Aufgabe des BSI etablieren und das BSI als zentrale Zertifizierungs- und Standardisierungsstelle für IT- und Cyber-Sicherheit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einfache und sichere Lösungen für die elektronische Identifizierung und Ende-zu-Ende-Verschlüsselung für jedermann verfügbar machen und es den Bürge</w:t>
      </w:r>
      <w:r>
        <w:rPr>
          <w:rFonts w:ascii="Arial" w:hAnsi="Arial" w:cs="Arial"/>
          <w:sz w:val="24"/>
          <w:szCs w:val="24"/>
        </w:rPr>
        <w:lastRenderedPageBreak/>
        <w:t>rinnen und Bürgern ermöglichen, verschlüsselt mit der Verwaltung über gängige Standards zu kommunizieren (PGP/SMIME). Wir werden sicherheitsrelevante Schlüsseltechnologien besser vor einem Ausverkauf oder einer Übernahme schützen und die nationalen und europäischen Außenwirtschaftsinstrumente ergänzen.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Verbreitung sicherer Produkte und des Entwicklungsprinzips „Security by Design“ fördern. Zusammen mit der Wirtschaft werden wir IT-Sicherheitsstandards für internetfähige Produkte entwickeln. Die Einhaltung dieser über die gesetzlichen Mindeststandards hinausgehenden IT-Sicherheitsstandards werden wir Verbraucherinnen und Verbrauchern mit einem Gütesiegel für IT-Sicherheit transparent machen. Dabei muss gekennzeichnet werden, wie lange sie mit sicherheitsrelevanten Updates versorgt werden. Die Hersteller und Anbieter digitaler Produkte und Dienstleistungen müssen Sicherheitslücken bekanntmachen und schnellstmöglich beheben. Wir werden klare Regelungen für die Produkthaftung in der digitalen Welt aufstellen. Risiko- und Verantwortungssphären für Verbraucher, Hersteller, Provider werden wir dabei ausgewogen abgrenzen und prüfen, wie wir den Rechtsrahmen für Versicherungsmodelle gegen Cyber-Schäden verbessern können.</w:t>
      </w:r>
    </w:p>
    <w:p w:rsidR="007F452D" w:rsidRDefault="007F452D">
      <w:pPr>
        <w:spacing w:after="0" w:line="240" w:lineRule="auto"/>
        <w:contextualSpacing/>
        <w:jc w:val="both"/>
        <w:rPr>
          <w:rFonts w:ascii="Arial" w:hAnsi="Arial" w:cs="Arial"/>
          <w:b/>
          <w:sz w:val="24"/>
          <w:szCs w:val="24"/>
        </w:rPr>
      </w:pPr>
    </w:p>
    <w:p w:rsidR="007F452D" w:rsidRDefault="006007DF">
      <w:pPr>
        <w:pStyle w:val="berschrift3"/>
        <w:contextualSpacing/>
        <w:rPr>
          <w:rFonts w:cs="Arial"/>
          <w:szCs w:val="24"/>
        </w:rPr>
      </w:pPr>
      <w:r>
        <w:rPr>
          <w:rFonts w:cs="Arial"/>
          <w:szCs w:val="24"/>
        </w:rPr>
        <w:t>Auf dem Weg in die digitale Verwaltung</w:t>
      </w:r>
    </w:p>
    <w:p w:rsidR="007F452D" w:rsidRDefault="006007DF">
      <w:pPr>
        <w:spacing w:after="0" w:line="240" w:lineRule="auto"/>
        <w:contextualSpacing/>
        <w:jc w:val="both"/>
        <w:rPr>
          <w:rFonts w:ascii="Arial" w:hAnsi="Arial" w:cs="Arial"/>
          <w:sz w:val="24"/>
          <w:szCs w:val="24"/>
          <w:u w:val="single" w:color="FF0000"/>
        </w:rPr>
      </w:pPr>
      <w:r>
        <w:rPr>
          <w:rFonts w:ascii="Arial" w:hAnsi="Arial" w:cs="Arial"/>
          <w:sz w:val="24"/>
          <w:szCs w:val="24"/>
        </w:rPr>
        <w:t xml:space="preserve">Wir werden in einem digitalen Portal für Bürgerinnen und Bürger sowie für Unternehmen einen einfachen, sicheren und auch mobilen Zugang zu allen Verwaltungsdienstleistungen ermöglichen. Dazu vernetzen wir geeignete zentrale und dezentrale Verwaltungsportale in einem Portalverbund. In dem damit verknüpften Bürgerkonto hat der Bürger Einblick, welche Daten beim Staat vorliegen, welche Behörde darauf Zugriff genommen hat und kann den Umgang mit seinen persönlichen Daten steuern. Für die Umsetzung des Gesetzes zur Verbesserung des Onlinezugangs zu Verwaltungsleistungen (OZG) wollen wir 500 Millionen Euro zur Verfügung stellen.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Times New Roman" w:hAnsi="Arial" w:cs="Arial"/>
          <w:sz w:val="24"/>
          <w:szCs w:val="24"/>
          <w:lang w:eastAsia="de-DE"/>
        </w:rPr>
      </w:pPr>
      <w:r>
        <w:rPr>
          <w:rFonts w:ascii="Arial" w:hAnsi="Arial" w:cs="Arial"/>
          <w:sz w:val="24"/>
          <w:szCs w:val="24"/>
        </w:rPr>
        <w:t xml:space="preserve">Wir errichten eine E-Government-Agentur, die gemeinsam schneller als bisher für alle föderalen Ebenen Standards sowie Pilotlösungen entwickelt. Die Initiative Förderale IT-Kooperationen (FITKO) kann damit verbunden werden. Mit der Agentur wollen wir einen </w:t>
      </w:r>
      <w:r>
        <w:rPr>
          <w:rFonts w:ascii="Arial" w:eastAsia="Times New Roman" w:hAnsi="Arial" w:cs="Arial"/>
          <w:sz w:val="24"/>
          <w:szCs w:val="24"/>
          <w:lang w:eastAsia="de-DE"/>
        </w:rPr>
        <w:t xml:space="preserve">Think Tank einrichten, </w:t>
      </w:r>
      <w:r>
        <w:rPr>
          <w:rFonts w:ascii="Arial" w:hAnsi="Arial" w:cs="Arial"/>
          <w:sz w:val="24"/>
          <w:szCs w:val="24"/>
        </w:rPr>
        <w:t>regionale Open Government Labore ermöglichen</w:t>
      </w:r>
      <w:r>
        <w:rPr>
          <w:rFonts w:ascii="Arial" w:eastAsia="Times New Roman" w:hAnsi="Arial" w:cs="Arial"/>
          <w:sz w:val="24"/>
          <w:szCs w:val="24"/>
          <w:lang w:eastAsia="de-DE"/>
        </w:rPr>
        <w:t xml:space="preserve"> und einen Incubator/Accelerator für innovative E-Government-Lösungen ansiedeln. </w:t>
      </w:r>
    </w:p>
    <w:p w:rsidR="007F452D" w:rsidRDefault="007F452D">
      <w:pPr>
        <w:spacing w:after="0" w:line="240" w:lineRule="auto"/>
        <w:contextualSpacing/>
        <w:jc w:val="both"/>
        <w:rPr>
          <w:rFonts w:ascii="Arial" w:eastAsia="Times New Roman" w:hAnsi="Arial" w:cs="Arial"/>
          <w:sz w:val="24"/>
          <w:szCs w:val="24"/>
          <w:lang w:eastAsia="de-DE"/>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In der Bundesregierung werden wir innovative Technologien wie Distributed Ledger (Blockchain) erproben, so dass basierend auf diesen Erfahrungen ein Rechtsrahmen geschaffen werden kann.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alle bisherigen und zukünftigen Gesetze auf ihre Digitaltauglichkeit überprüfen und E-Government-fähig machen (Normen-Screening plus). Dazu gehört die erneute, ehrgeizige Überprüfung der Schriftformerfordernisse. Außerdem wollen wir verbindliche Regelungen für Standards, Systemarchitekturen und Interoperationalität.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Bundesregierung wird einen Digitalrat berufen, der einen engen Austausch zwischen Politik und nationalen sowie internationalen Experten ermöglicht. </w:t>
      </w:r>
    </w:p>
    <w:p w:rsidR="007F452D" w:rsidRDefault="007F452D">
      <w:pPr>
        <w:spacing w:after="0" w:line="240" w:lineRule="auto"/>
        <w:contextualSpacing/>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führen eine vollständig elektronische Vorgangsbearbeitung in der öffentlichen Verwaltung (E-Akte) zügig ein.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werden eine Beteiligungsplattform für alle veröffentlichten Gesetzentwürfe der Bundesregierung schaffen, die der transparenten Beteiligung von Bürgern und Verbänden dient und zu denen die Bundesregierung dann Stellung nimmt.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Der elektronische Personalausweis wird zu einem universellen, sicheren und mobil einsetzbaren Authentifizierungsmedium. Der praktische Einsatz muss deutlich benutzerfreundlicher werden. Wir wollen weitere private und öffentliche Einsatzbereiche erschließen. Wir verankern eine Opt-in-Lösung, die das Zustimmungsrecht der Bürgerinnen und Bürger festschreibt. Damit ermöglichen wir Behörden, Daten über gemeinsame Register und eindeutige, registerübergreifende Identifikationen zu verknüpfen („once only“-Prinzip). Wir werden die öffentlichen Register modernisieren und dafür die Vorschläge des Normenkontrollrates prüfen.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IT-Kompetenzen sollen eine stärkere Gewichtung in den Anforderungsprofilen und damit bei der Einstellung und bei der Auswahl von Führungskräften bekommen. Wir werden die Ausbildungs- und Studienordnungen der Verwaltungsausbildungen und der Weiterbildungsangebote modernisieren. Wir wollen innovations- und mitarbeiterfreundliche Arbeitsbedingungen mit wettbewerbsfähigen Löhnen, Gehältern und Aufstiegsmöglichkeiten schaffen.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bereits begonnene IT Konsolidierung werden wir mit großem Einsatz fortführen und die Steuerung und das Controlling des Projekts weiter verbessern.</w:t>
      </w:r>
      <w:r>
        <w:rPr>
          <w:rFonts w:ascii="Arial" w:hAnsi="Arial" w:cs="Arial"/>
          <w:i/>
          <w:sz w:val="24"/>
          <w:szCs w:val="24"/>
        </w:rPr>
        <w:t xml:space="preserve"> </w:t>
      </w:r>
      <w:r>
        <w:rPr>
          <w:rFonts w:ascii="Arial" w:hAnsi="Arial" w:cs="Arial"/>
          <w:sz w:val="24"/>
          <w:szCs w:val="24"/>
        </w:rPr>
        <w:t>Die Bundesregierung stärkt die Rolle des IT-Beauftragten der Bundesregierung. Dieser managt und steuert zentral die IT Konsolidierung, Standardisierung und Beschaffung. Die Umwandlung des Informationstechnikzentrum Bund (ITZ Bund) in eine Anstalt des öffentlichen Rechts werden wir zügig umsetzen und damit Planungssicherheit für die Kundenbehörden schaffen.</w:t>
      </w:r>
    </w:p>
    <w:p w:rsidR="007F452D" w:rsidRDefault="007F452D">
      <w:pPr>
        <w:spacing w:after="0" w:line="240" w:lineRule="auto"/>
        <w:contextualSpacing/>
        <w:jc w:val="both"/>
        <w:rPr>
          <w:rFonts w:ascii="Arial" w:hAnsi="Arial" w:cs="Arial"/>
          <w:i/>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Daten der öffentlichen Verwaltung sollen der Bevölkerung grundsätzlich kostenfrei zur Verfügung stehen. Damit kann auch ein wichtiger Beitrag zur Entwicklung innovativer Technologien und neuer Geschäftsmodelle geleistet werden.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Daten – Rohstoff und sensibles Gut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Daten sind der Treibstoff für Innovationen und neue Dienste. Diese wollen wir ermöglichen und gleichzeitig den hohen und weltweit angesehenen Datenschutzstandard Europas und Deutschlands halten.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die Chancen und den Nutzen behördlicher Verwaltungsdaten für Wirtschaft und Bürgerinnen und Bürger noch weiter zu verbessern, werden wir im Rahmen eines zweiten Open Data Gesetzes die Bereitstellung von Open Data ausweiten.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ein hohes Schutzniveau für die Vertraulichkeit von Kommunikationsdaten bei der E-Privacy-Verordnung und zugleich den Spielraum für Innovation und digitale Geschäftsmodelle erhalten. Wir wollen erreichen, dass z. B. Start-ups und Unternehmen bei digitalen Innovationen einen beratenden Ansprechpartner für Datenschutzfragen erhalten und deutschlandweit geltende Entscheidungen einholen können. Wir wollen ein Innovationsboard auf EU-Ebene einrichten, um konkrete Vorschläge zur Weiterentwicklung der europäischen Datenschutzregelungen zu erarbeiten.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wollen uns für eine Stärkung der Kompetenz der Nutzerinnen und Nutzer sowie für mehr Transparenz und „Privacy by Default“ und „Privacy by Design“ auf Seiten der Anbieter einsetzen und die Entwicklung von innovativem Einwilligungsmanagement fördern und unterstützen.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uns für eine innovationsfreundliche Anwendung der EU-Datenschutz-Grundverordnung ein. Verbraucher müssen ihre persönlichen Daten einfach und unkompliziert von einer Plattform zu einer anderen Plattform transferieren können. Daher wollen wir die Datenportabilität und Interoperabilität sowie die Rechte der Nutzer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Diskriminierungsverbote der analogen Welt müssen auch in der digitalen Welt der Algorithmen gelten. Wir setzen uns für Transparenz bei Online-Vergleichs- und Beratungsportalen ein.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zeitnah eine Daten-Ethikkommission einsetzen, die Regierung und Parlament innerhalb eines Jahres einen Entwicklungsrahmen für Datenpolitik, den Umgang mit Algorithmen, künstlicher Intelligenz und digitalen Innovationen vorschlägt. Die Klärung datenethischer Fragen kann Geschwindigkeit in die digitale Entwicklung bringen und auch einen Weg definieren, der gesellschaftliche Konflikte im Bereich der Datenpolitik auflöst.</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Besseres Leben durch Fortschritt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das bestehende E-Health-Gesetz im Zuge technologischer Innovationen im Dialog mit allen Akteuren weiterentwickeln und einen konkreten Aktionsplan bis 2020 mit Maßnahmen und Meilensteinen aufstellen. Als erste Maßnahme schaffen wir die Möglichkeit, den Impfpass, den Mutterpass und das Untersuchungsheft digital zu speichern, das Zahnbonusheft digital zu verwalten sowie die Möglichkeiten von „Mobile Health“ zu nutzen. Außerdem wollen wir die Möglichkeit der digitalen Rezeptvergabe auch ohne Arztbesuch schaffen.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Grundlagen für den sicheren Austausch sensibler Daten und Informationen sowie die digitale Patientenakte sind eine verlässliche und vertrauenswürdige Telematikinfrastruktur und höchste Datenschutz- und Datensicherheitsstandards. Die Nutzung der digitalen Angebote erfolgt ausschließlich auf freiwilliger Basis (Opt-In).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Gemeinsam mit den Ländern wollen wir die Vorteile von Smart City und Smart Rural Area für die Menschen nutzbar machen. Dazu wollen wir ein Bundesprogramm „Smarte Modellregionen“ auflegen, das insbesondere ländliche Regionen und mittlere Städte in den Fokus rückt und die Vernetzung von Stadt und Umland verfolgt sowie den demografischen Wandel im ländlichen Raum gestalten hilft. Wir wollen mit Smart Grids und der Smart Meter-Technologie eine nachhaltige Energieerzeugung und -versorgung sicher und bedarfsgerecht gestalten. Wir wollen Städte und Regionen dabei unterstützen, im Rahmen der Smart Cities Initiative der EU europäische Projekte im Bereich Smart City zu initiieren und sich an internationalen Wettbewerben zu beteiligen. </w:t>
      </w:r>
    </w:p>
    <w:p w:rsidR="007F452D" w:rsidRDefault="007F452D">
      <w:pPr>
        <w:spacing w:after="0" w:line="240" w:lineRule="auto"/>
        <w:contextualSpacing/>
        <w:jc w:val="both"/>
        <w:rPr>
          <w:rFonts w:ascii="Arial" w:hAnsi="Arial" w:cs="Arial"/>
          <w:strike/>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dass Mobilität über alle Fortbewegungsmittel (z. B. Auto, ÖPNV, E-Bikes, Car- und Ride Sharing, Ruftaxen) hinweg geplant, gebucht und bezahlt werden kann und führen deshalb eine digitale Mobilitätsplattform ein, die neue und existierende Mobilitätsangebote benutzerfreundlich miteinander vernetzt. Um dies zu erreichen, </w:t>
      </w:r>
      <w:r>
        <w:rPr>
          <w:rFonts w:ascii="Arial" w:hAnsi="Arial" w:cs="Arial"/>
          <w:sz w:val="24"/>
          <w:szCs w:val="24"/>
        </w:rPr>
        <w:lastRenderedPageBreak/>
        <w:t>müssen einheitliche, offene Standards entwickelt und eingehalten werden. Damit können Echtzeitdaten über Verkehrsträger und -situation frei und zwischen allen öffentlichen und privaten Betreibern von Verkehrssystemen und Anbietern von Informationssystemen ausgetauscht werden, um die Einführung von bundesweiten eTickets zu ermöglichen.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Ruf- und Bürgerbusse stärken und etwaige Regelungshindernisse beseitigen. Wir wollen digital organisierte private Mitfahrgelegenheiten unterstützen (insbesondere von Pendlern). Wir werden das Personenbeförderungsgesetz mit Blick auf neue digitale Mobilitätsangebote modernisieren. Wir wollen einen Rechtsrahmen für das autonome Fahren schaffen, der Datenschutz und Datensicherheit ebenso gewährleistet wie ein Höchstmaß an Sicherheit.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eastAsia="Times New Roman" w:hAnsi="Arial" w:cs="Arial"/>
          <w:sz w:val="24"/>
          <w:szCs w:val="24"/>
        </w:rPr>
        <w:t xml:space="preserve">Wir werden die Regelungen zur Interoperabilität in § 48 Telekommunikationsgesetz (TKG) angesichts der veränderten Anforderungen an den digitalen Hörfunk weiterentwickeln, um </w:t>
      </w:r>
      <w:r>
        <w:rPr>
          <w:rFonts w:ascii="Arial" w:hAnsi="Arial" w:cs="Arial"/>
          <w:sz w:val="24"/>
          <w:szCs w:val="24"/>
        </w:rPr>
        <w:t>das Digitalradio als niedrigschwelliges Medium zu stärken. Wir werden unter Einbeziehung aller Akteure im Digitalradio Board Maßnahmen entwickeln, um die Digitalisierung des Hörfunks weiter voranzutreiben.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prüfen, wie ein „Zivilgesellschaftliches Digitalisierungsprogramm" für ehrenamtliches Engagement ausgestaltet und auf den Weg gebracht werden könnte.</w:t>
      </w:r>
      <w:r>
        <w:rPr>
          <w:rFonts w:ascii="Arial" w:hAnsi="Arial" w:cs="Arial"/>
          <w:sz w:val="24"/>
          <w:szCs w:val="24"/>
          <w:u w:val="single"/>
        </w:rPr>
        <w:t xml:space="preserve"> </w:t>
      </w:r>
      <w:r>
        <w:rPr>
          <w:rFonts w:ascii="Arial" w:hAnsi="Arial" w:cs="Arial"/>
          <w:sz w:val="24"/>
          <w:szCs w:val="24"/>
        </w:rPr>
        <w:t xml:space="preserve">Dabei werden wir auch prüfen, wie die Finanzierung von zivil- und ehrenamtlichen Initiativen mit gemeinnützigen Zwecken über in Deutschland ansässige Spenden- oder Crowdfunding-Plattformen gefördert werden kann.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Auch in politischen Parteien wollen wir digitale Möglichkeiten stärken, damit diese digitale Beteiligung unabhängig vom Ortsprinzip auf der Höhe der Zeit anbieten können. Wir werden prüfen, ob es hierfür eine</w:t>
      </w:r>
      <w:r w:rsidR="00501DC6">
        <w:rPr>
          <w:rFonts w:ascii="Arial" w:hAnsi="Arial" w:cs="Arial"/>
          <w:sz w:val="24"/>
          <w:szCs w:val="24"/>
        </w:rPr>
        <w:t>r</w:t>
      </w:r>
      <w:r>
        <w:rPr>
          <w:rFonts w:ascii="Arial" w:hAnsi="Arial" w:cs="Arial"/>
          <w:sz w:val="24"/>
          <w:szCs w:val="24"/>
        </w:rPr>
        <w:t xml:space="preserve"> Änderung der rechtlichen Grundlagen bedarf.</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innerhalb des Bundesfreiwilligendienstes eine neue Variante analog zum „Freiwilligen Sozialen Jahr Digital“ einführen, bei dem Menschen ihre technischen Fertigkeiten und Fähigkeiten in den Dienst von gemeinnützigen Einrichtungen stellen.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erkennen die wachsende Bedeutung der E-Sport-Landschaft in Deutschland an. Da E-Sport wichtige Fähigkeiten schult, die nicht nur in der digitalen Welt von Bedeutung sind, Training und Sportstrukturen erfordert, werden wir E-Sport künftig vollständig als eigene Sportart mit Vereins- und Verbandsrecht anerkennen und bei der Schaffung einer olympischen Perspektive unterstützen.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Digitales Europa</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Wettbewerbsfähigkeit Europas hängt entscheidend von der Verwirklichung des einheitlichen digitalen Binnenmarkts ab. Deshalb wollen wir grundsätzlich auf einseitige, nationale Regulierungen verzichten, um die europaweite Umsetzung von digitalen Geschäftsmodellen zu erleichtern. Wir streben an, die Freizügigkeit von Daten als fünfte Dimension der Freizügigkeit zu verankern.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Rahmen der Zukunftsdebatte um Europa wollen wir auch eine Diskussion über die Zuständigkeitsverteilung zwischen der europäischen Ebene und der Ebene der Mitgliedstaaten anstoßen, die die vordringliche Verwirklichung des einheitlichen Bin</w:t>
      </w:r>
      <w:r>
        <w:rPr>
          <w:rFonts w:ascii="Arial" w:hAnsi="Arial" w:cs="Arial"/>
          <w:sz w:val="24"/>
          <w:szCs w:val="24"/>
        </w:rPr>
        <w:lastRenderedPageBreak/>
        <w:t>nenmarkts in den Branchen ermöglicht, in denen eine besonders hohe Wertschöpfung durch Digitalisierung absehbar ist.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darauf achten, dass europäische Innovation</w:t>
      </w:r>
      <w:r w:rsidR="00362BAC">
        <w:rPr>
          <w:rFonts w:ascii="Arial" w:hAnsi="Arial" w:cs="Arial"/>
          <w:sz w:val="24"/>
          <w:szCs w:val="24"/>
        </w:rPr>
        <w:t>en</w:t>
      </w:r>
      <w:r>
        <w:rPr>
          <w:rFonts w:ascii="Arial" w:hAnsi="Arial" w:cs="Arial"/>
          <w:sz w:val="24"/>
          <w:szCs w:val="24"/>
        </w:rPr>
        <w:t xml:space="preserve"> am Markt eine faire Chance </w:t>
      </w:r>
      <w:r w:rsidR="00362BAC">
        <w:rPr>
          <w:rFonts w:ascii="Arial" w:hAnsi="Arial" w:cs="Arial"/>
          <w:sz w:val="24"/>
          <w:szCs w:val="24"/>
        </w:rPr>
        <w:t xml:space="preserve">erhalten </w:t>
      </w:r>
      <w:r>
        <w:rPr>
          <w:rFonts w:ascii="Arial" w:hAnsi="Arial" w:cs="Arial"/>
          <w:sz w:val="24"/>
          <w:szCs w:val="24"/>
        </w:rPr>
        <w:t>und die Regeln des Binnenmarktes helfen, Beschäftigung, Rechtsstaatlichkeit, Demokratie und die Ausübung von Grundrechten der Bürgerinnen und Bürger zu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auch im Trilog die Revision der Richtlinie über audiovisuelle Mediendienste in enger Abstimmung mit den Ländern vorantreiben und die gemeinsamen Ziele (insbesondere die Einbeziehung von sozialen Netzwerken) zur Schaffung eines Single Market im Audio-Visuellen-Bereich umsetzen. Die Weiterentwicklung des Urheberrechts auf europäischer Ebene soll im Sinne eines fairen Ausgleichs der Interessen gestaltet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An der gesetzlichen Verankerung der Netzneutralität halten wir fest. Netzneutralität und diskriminierungsfreier Netzzugang sind entscheidend für das offene und freie Internet sowie für Teilhabe, Innovation und fairen Wettbewerb. Die nach europarechtlichen Vorgaben möglichen Ausnahmen vom Prinzip der Netzneutralität müssen eng begrenzt bleiben. Sie müssen streng beaufsichtigt werden. Die Einschränkung der Netzneutralität kann auch die inhaltliche Vielfalt beeinträchtigen. Daher soll die Regulierungsbehörde eng mit den Medienanstalten der Länder zusammenarbeiten und diese in die Aufsicht über die Medienvielfalt einbeziehen.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Bei der Revision der E-Commerce-Richtlinie werden wir prüfen, ob es – vor dem Hintergrund der Rechtsprechung des EuGH – eine Weiterentwicklung der Hostproviderhaftung und einer Konkretisierung des Notice-and-Takedown-Verfahrens bedarf. Am Grundsatz der bewährten abgestuften Haftungsprivilegierung halten wir fest. </w:t>
      </w:r>
    </w:p>
    <w:p w:rsidR="007F452D" w:rsidRDefault="007F452D">
      <w:pPr>
        <w:spacing w:after="0" w:line="240" w:lineRule="auto"/>
        <w:contextualSpacing/>
        <w:jc w:val="both"/>
        <w:rPr>
          <w:rFonts w:ascii="Arial" w:eastAsia="Times New Roman" w:hAnsi="Arial" w:cs="Arial"/>
          <w:sz w:val="24"/>
          <w:szCs w:val="24"/>
          <w:lang w:eastAsia="de-DE"/>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Eine Verpflichtung von Plattformen zum Einsatz von Upload-Filtern, um von Nutzern hochgeladene Inhalte nach urheberrechtsverletzenden Inhalten zu „filtern“, lehnen wir als unverhältnismäßig ab. Negative Auswirkungen auf kleinere und mittlere Verlage müssen vermieden werden. Die Daten-Souveränität werden wir auf europäischer Ebene im Rahmen der E-Privacy-Verordnung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Weiterentwicklung innovativer Rundfunksysteme im digitalen Zeitalter auch auf europäischer Ebene absichern (Sicherung </w:t>
      </w:r>
      <w:r w:rsidR="00501DC6">
        <w:rPr>
          <w:rFonts w:ascii="Arial" w:hAnsi="Arial" w:cs="Arial"/>
          <w:sz w:val="24"/>
          <w:szCs w:val="24"/>
        </w:rPr>
        <w:t xml:space="preserve">von </w:t>
      </w:r>
      <w:r>
        <w:rPr>
          <w:rFonts w:ascii="Arial" w:hAnsi="Arial" w:cs="Arial"/>
          <w:sz w:val="24"/>
          <w:szCs w:val="24"/>
        </w:rPr>
        <w:t>Übertragungskapazitäten, 5G).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uns für eine Interoperabilitätsverpflichtung für Digitalradiogeräte auch auf europäischer Ebene ein.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Theme="majorEastAsia" w:hAnsi="Arial" w:cs="Arial"/>
          <w:b/>
          <w:bCs/>
          <w:i/>
          <w:sz w:val="24"/>
          <w:szCs w:val="24"/>
        </w:rPr>
      </w:pPr>
      <w:r>
        <w:rPr>
          <w:rFonts w:ascii="Arial" w:hAnsi="Arial" w:cs="Arial"/>
          <w:sz w:val="24"/>
          <w:szCs w:val="24"/>
        </w:rPr>
        <w:t>Im digitalen Zeitalter sind universelle Spielregeln wichtig. Um den Grundrechteschutz auch im digitalen Zeitalter sicherzustellen, begleitet die Bundesregierung das Projekt einer europäischen digitalen Grundrechtecharta. Durch diese Charta sollen die Chancen und Risiken der Digitalisierung zu einem gerechten Ausgleich gebracht werden.</w:t>
      </w:r>
      <w:r>
        <w:rPr>
          <w:rFonts w:ascii="Arial" w:hAnsi="Arial" w:cs="Arial"/>
          <w:i/>
          <w:sz w:val="24"/>
          <w:szCs w:val="24"/>
        </w:rPr>
        <w:br w:type="page"/>
      </w:r>
    </w:p>
    <w:p w:rsidR="007F452D" w:rsidRDefault="006007DF">
      <w:pPr>
        <w:pStyle w:val="berschrift1"/>
        <w:numPr>
          <w:ilvl w:val="0"/>
          <w:numId w:val="8"/>
        </w:numPr>
        <w:ind w:left="426" w:hanging="142"/>
        <w:contextualSpacing/>
      </w:pPr>
      <w:bookmarkStart w:id="16" w:name="_Toc505767153"/>
      <w:r>
        <w:lastRenderedPageBreak/>
        <w:t>Gute Arbeit, breite Entlastung und soziale Teilhabe sichern</w:t>
      </w:r>
      <w:bookmarkEnd w:id="16"/>
    </w:p>
    <w:p w:rsidR="007F452D" w:rsidRDefault="007F452D">
      <w:pPr>
        <w:pStyle w:val="Listenabsatz"/>
        <w:spacing w:after="0" w:line="240" w:lineRule="auto"/>
        <w:ind w:left="426" w:hanging="426"/>
        <w:jc w:val="both"/>
        <w:rPr>
          <w:rFonts w:ascii="Arial" w:hAnsi="Arial" w:cs="Arial"/>
          <w:sz w:val="24"/>
          <w:szCs w:val="24"/>
        </w:rPr>
      </w:pPr>
    </w:p>
    <w:p w:rsidR="007F452D" w:rsidRDefault="006007DF">
      <w:pPr>
        <w:pStyle w:val="berschrift2"/>
        <w:numPr>
          <w:ilvl w:val="1"/>
          <w:numId w:val="10"/>
        </w:numPr>
        <w:contextualSpacing/>
        <w:rPr>
          <w:szCs w:val="24"/>
        </w:rPr>
      </w:pPr>
      <w:bookmarkStart w:id="17" w:name="_Toc505767154"/>
      <w:r>
        <w:rPr>
          <w:szCs w:val="24"/>
        </w:rPr>
        <w:t>Gute Arbeit</w:t>
      </w:r>
      <w:bookmarkEnd w:id="17"/>
    </w:p>
    <w:p w:rsidR="007F452D" w:rsidRDefault="006007DF">
      <w:pPr>
        <w:spacing w:after="0" w:line="240" w:lineRule="auto"/>
        <w:contextualSpacing/>
        <w:jc w:val="both"/>
        <w:rPr>
          <w:rFonts w:ascii="Arial" w:hAnsi="Arial" w:cs="Arial"/>
          <w:sz w:val="24"/>
          <w:szCs w:val="24"/>
        </w:rPr>
      </w:pPr>
      <w:bookmarkStart w:id="18" w:name="_Hlk505176667"/>
      <w:r>
        <w:rPr>
          <w:rFonts w:ascii="Arial" w:hAnsi="Arial" w:cs="Arial"/>
          <w:sz w:val="24"/>
          <w:szCs w:val="24"/>
        </w:rPr>
        <w:t xml:space="preserve">Wir bekennen uns zum Ziel der Vollbeschäftigung. Dazu gehört auch, dass Menschen, die schon sehr lange arbeitslos sind, wieder eine Perspektive auf dem Arbeitsmarkt eröffnet wird. </w:t>
      </w:r>
    </w:p>
    <w:bookmarkEnd w:id="18"/>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bookmarkStart w:id="19" w:name="_Hlk505174282"/>
      <w:r>
        <w:rPr>
          <w:rFonts w:ascii="Arial" w:hAnsi="Arial" w:cs="Arial"/>
          <w:sz w:val="24"/>
          <w:szCs w:val="24"/>
        </w:rPr>
        <w:t xml:space="preserve">Mit einem ganzheitlichen Ansatz wollen wir die Qualifizierung, Vermittlung und Reintegration von Langzeitarbeitslosen in den Arbeitsmarkt vorantreiben. Unser Ziel ist, bei der Betreuung der Langzeitarbeitslosen die ganze Familie in den Blick zu nehmen.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Teilhabe am Arbeitsmarkt erfolgt dabei sowohl auf dem ersten Arbeitsmarkt als auch auf dem sozialen Arbeitsmarkt z. B. durch Lohnkostenzuschüsse. Das schließt Arbeitgeber der freien Wirtschaft, gemeinnützige Einrichtungen und Kommunen ein. Bei den sozialversicherungspflichtig bezuschussten Arbeitsverhältnissen im sozialen Arbeitsmarkt orientiert sich der Zuschuss am Mindestlohn. Dazu schaffen wir u. a. ein neues unbürokratisches Regelinstrument im Sozialgesetzbuch II „Teilhabe am Arbeitsmarkt für alle“. Wir stellen uns eine Beteiligung von bis zu 150 000 Menschen vor. Die Finanzierung erfolgt über den Eingliederungstitel, den wir hierfür um vier Milliarden Euro im Zeitraum 2018 bis 2021 aufstocken werden. Wir ermöglichen außerdem den Passiv-Aktiv-Transfer in den Ländern. </w:t>
      </w:r>
      <w:bookmarkEnd w:id="19"/>
      <w:r>
        <w:rPr>
          <w:rFonts w:ascii="Arial" w:hAnsi="Arial" w:cs="Arial"/>
          <w:sz w:val="24"/>
          <w:szCs w:val="24"/>
        </w:rPr>
        <w:t>Der Bund stellt dazu die eingesparten Passiv-Leistungen zusätzlich für die Finanzierung der Maßnahmen zur Verfügung.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erhöhen die Restmittelübertragung für das Sozialgesetzbuch II auf 400 Millionen Euro jährlich und entfristen die Regelung.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Lebensbegleitendes Lernen wird eine Grundvoraussetzung sein, um der Digitalisierung der Wirtschafts- und Arbeitswelt erfolgreich zu begegnen. Die arbeitsmarkt- und bildungspolitischen Instrumente der Fachkräftesicherung wollen wir enger verzahnen. Wir begrüßen die vielfältigen Anstrengungen, die bereits heute von den Sozialpartnern und in den Unternehmen unternommen werden, um eine zeitgemäße betriebliche Weiterbildung der Mitarbeiter zu ermöglichen. Mit dem Ziel, breiten Bevölkerungsteilen einen beruflichen Aufstieg zu erleichtern, die Fachkräftebasis zu stärken und die Beschäftigungsfähigkeit in einer sich wandelnden Arbeitswelt nachhaltig zu fördern, wollen wir gemeinsam mit den Sozialpartnern und in enger Abstimmung mit den Ländern (und allen anderen Akteuren) eine Nationale Weiterbildungsstrategie entwickeln. Ein Ziel ist, alle Weiterbildungsprogramme des Bundes und der Länder zu bündeln, sie entlang der Bedarfe der Beschäftigten und der Unternehmen auszurichten und eine neue Weiterbildungskultur zu etablieren. Über die Bundesagentur für Arbeit erhalten alle Arbeitnehmerinnen und Arbeitnehmer ein Recht auf Weiterbildungsberatung.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Innerhalb von drei Monaten nach entstandener Arbeitslosigkeit soll die Bundesagentur für Arbeit mit den betroffenen Menschen Maßnahmen entwickeln, um ihre Beschäftigungsfähigkeit nachhaltig zu fördern.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Anspruchsvoraussetzung für die Förderung der beruflichen Weiterbildung im § 81 Sozialgesetzbuch III im Sinne von Erweiterungsqualifizierungen anpassen. Dabei muss sich die Weiterbildung an den Bedarfen der Beschäftigten und Ar</w:t>
      </w:r>
      <w:r>
        <w:rPr>
          <w:rFonts w:ascii="Arial" w:hAnsi="Arial" w:cs="Arial"/>
          <w:sz w:val="24"/>
          <w:szCs w:val="24"/>
        </w:rPr>
        <w:lastRenderedPageBreak/>
        <w:t>beitslosen, der Wirtschaft und des regionalen Arbeitsmarktes orientieren. Dazu wollen wir die bestehenden Instrumente evaluieren.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Times New Roman" w:hAnsi="Arial" w:cs="Arial"/>
          <w:sz w:val="24"/>
          <w:szCs w:val="24"/>
        </w:rPr>
      </w:pPr>
      <w:r>
        <w:rPr>
          <w:rFonts w:ascii="Arial" w:hAnsi="Arial" w:cs="Arial"/>
          <w:sz w:val="24"/>
          <w:szCs w:val="24"/>
        </w:rPr>
        <w:t>Wir wollen die Arbeitsmarktinstrumente stärker auf die digitale Weiterbildung ausrichten und wir wollen finanzielle Anreize für die Weiterbildung schaffen. Zusätzlich wollen wir die bestehende Allianz für Aus- und Weiterbildung stärker auf die digitale Fort- und Weiterbildung ausrichten.</w:t>
      </w:r>
      <w:r>
        <w:rPr>
          <w:rFonts w:ascii="Arial" w:eastAsia="Times New Roman" w:hAnsi="Arial" w:cs="Arial"/>
          <w:sz w:val="24"/>
          <w:szCs w:val="24"/>
        </w:rPr>
        <w:t xml:space="preserve"> </w:t>
      </w:r>
    </w:p>
    <w:p w:rsidR="007F452D" w:rsidRDefault="007F452D">
      <w:pPr>
        <w:spacing w:after="0" w:line="240" w:lineRule="auto"/>
        <w:contextualSpacing/>
        <w:jc w:val="both"/>
        <w:rPr>
          <w:rFonts w:ascii="Arial" w:eastAsia="Times New Roman" w:hAnsi="Arial" w:cs="Arial"/>
          <w:sz w:val="24"/>
          <w:szCs w:val="24"/>
        </w:rPr>
      </w:pPr>
    </w:p>
    <w:p w:rsidR="007F452D" w:rsidRDefault="006007D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Wir werden das allgemeine Initiativrecht der Betriebsräte für Weiterbildung stärken. Arbeitgeberinnen und Arbeitgeber und Betriebsrat haben über Maßnahmen der Berufsbildung zu beraten. Können sich beide nicht verständigen, kann jede Seite einen Moderator anrufen mit dem Ziel, eine Einigung zu erreichen. Ein Einigungszwang besteht nicht.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Durch einen erleichterten Datenaustausch einschließlich der Schülerdaten soll die Transparenz am Übergang von der Schule in Ausbildung erhöht und die Zusammenarbeit der beteiligten Institutionen verbessert werden, um so einen erfolgreichen beruflichen Werdegang zu unterstützen. Dies ist z. B. für die Jugendberufsagenturen wichtig, um den Übergang von der Schule in den Beruf erfolgreich begleiten zu können.</w:t>
      </w:r>
    </w:p>
    <w:p w:rsidR="007F452D" w:rsidRDefault="007F452D">
      <w:pPr>
        <w:spacing w:after="0" w:line="240" w:lineRule="auto"/>
        <w:contextualSpacing/>
        <w:jc w:val="both"/>
        <w:rPr>
          <w:rFonts w:ascii="Arial" w:eastAsia="Times New Roman"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Gruppe der schwer zu erreichenden Jugendlichen soll in dieser Legislaturperiode im Fokus stehen. Für eine Anwendung des § 16h Sozialgesetzbuch II wollen wir ab 2019 </w:t>
      </w:r>
      <w:r w:rsidR="00A65CA3">
        <w:rPr>
          <w:rFonts w:ascii="Arial" w:hAnsi="Arial" w:cs="Arial"/>
          <w:sz w:val="24"/>
          <w:szCs w:val="24"/>
        </w:rPr>
        <w:t xml:space="preserve">jährlich </w:t>
      </w:r>
      <w:r>
        <w:rPr>
          <w:rFonts w:ascii="Arial" w:hAnsi="Arial" w:cs="Arial"/>
          <w:sz w:val="24"/>
          <w:szCs w:val="24"/>
        </w:rPr>
        <w:t xml:space="preserve">50 Millionen Euro zur Verfügung stellen.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Auch die Leistungen für Bildung und Teilhabe werden wir verbessern, Hemmnisse der Inanspruchnahme beseitigen, die Wirkung prüfen und gezielt erhöhen. Leistungen sollen künftig möglichst pauschal abgerechnet werden. Dort wo es möglich ist, wollen wir Einzelanträge reduzieren und z. B. Schulen ermöglichen, gesammelte Anträge für die berechtigten Kinder diskriminierungsfrei zu stellen. Unter anderem soll hierzu das Schulstarterpaket aufgestockt werden. Die Eigenanteile zur gemeinschaftlichen Mittagsverpflegung in Kitas und Schulen und für Schülerbeförderung entfallen. Im Rahmen des bestehenden Teilhabepaketes soll allgemeine Lernförderung auch dann möglich sein, wenn die Versetzung nicht unmittelbar gefährdet ist.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prüfen, wie die bei Wahrnehmung des Umgangsrechts zusätzlich entstehenden Bedarfe bei der Leistungsgewährung künftig einfacher berücksichtigt werden können. Damit entlasten wir Alleinerziehende.</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Selbstverwaltung stärken und gemeinsam mit den Sozialpartnern die Sozialwahlen modernisieren.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Das Zeitalter der Digitalisierung wollen wir als Chance für mehr und bessere Arbeit nutzen. Wir wollen deshalb neue Geschäftsmodelle fördern und gleichzeitig die Tarifbindung stärken.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Gründung und Wahl von Betriebsräten erleichtern. Dazu werden wir das vereinfachte Wahlverfahren für alle Betriebe mit 5 bis 100 wahlberechtigten Arbeitnehmerinnen und Arbeitnehmern verpflichtend machen. Für Betriebe mit 101 bis 200 wahlberechtigten Arbeitnehmerinnen und Arbeitnehmern ermöglichen wir die Wahl zwischen dem vereinfachten und allgemeinen Wahlverfahren.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setzen uns dafür ein, dass auch bei grenzüberschreitenden Sitzverlagerungen von Gesellschaften die nationalen Vorschriften über die Mitbestimmung gesichert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den Missbrauch bei den Befristungen abschaffen. Deshalb dürfen Arbeitgeber mit mehr als 75 Beschäftigten nur noch maximal 2,5 Prozent der Belegschaft sachgrundlos befristen. Bei Überschreiten dieser Quote gilt jedes weitere sachgrundlos befristete Arbeitsverhältnis als unbefristet zustande gekommen. Die Quote ist jeweils auf den Zeitpunkt der letzten Einstellung ohne Sachgrund zu beziehen.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Befristung eines Arbeitsvertrages ohne Vorliegen eines sachlichen Grundes ist nur noch für die Dauer von 18 statt bislang von 24 Monaten zulässig, bis zu dieser Gesamtdauer ist auch nur noch eine einmalige statt einer dreimaligen Verlängerung möglich.</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nicht länger unendlich lange Ketten von befristeten Arbeitsverhältnissen hinnehmen. Eine Befristung eines Arbeitsverhältnisses ist dann nicht zulässig, wenn mit demselben Arbeitgeber bereits zuvor ein unbefristetes oder ein oder mehrere befristete Arbeitsverhältnisse mit einer Gesamtdauer von fünf oder mehr Jahren bestanden haben. Wir sind uns darüber einig, dass eine Ausnahmeregelung für den Sachgrund nach § 14 Abs. 1 Nr. 4 Teilzeit- und Befristungsgesetz wegen der Eigenart des Arbeitsverhältnisses (Künstler, Fußballer) zu treffen ist.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Auf die Höchstdauer von fünf Jahren wird bzw. werden auch eine oder mehrere vorherige Entleihung(en) des nunmehr befristet eingestellten Arbeitnehmers durch ein oder mehrere Verleihunternehmen angerechnet. Ein erneutes befristetes Arbeitsverhältnis mit demselben Arbeitgeber ist erst nach Ablauf einer Karenzzeit von drei Jahren möglich.</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über eine Tariföffnungsklausel im Arbeitszeitgesetz Experimentierräume für tarifgebundene Unternehmen schaffen, um eine Öffnung für mehr selbstbestimmte Arbeitszeit der Arbeitnehmer und mehr betriebliche Flexibilität in der zunehmend digitalen Arbeitswelt zu erproben. Auf Grundlage von diesen Tarifverträgen kann dann mittels Betriebsvereinbarungen insbesondere die Höchstarbeitszeit wöchentlich flexibler geregelt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Arbeit auf Abruf nimmt zu. Wir wollen jedoch sicherstellen, dass die Arbeitnehmerinnen und Arbeitnehmer ausreichend Planungs- und Einkommenssicherheit in dieser Arbeitsform haben. Deshalb werden wir gesetzlich festschreiben, dass der Anteil abzurufender und zu vergütender Zusatzarbeit die vereinbarte Mindestarbeitszeit um höchsten</w:t>
      </w:r>
      <w:r w:rsidR="00501DC6">
        <w:rPr>
          <w:rFonts w:ascii="Arial" w:hAnsi="Arial" w:cs="Arial"/>
          <w:sz w:val="24"/>
          <w:szCs w:val="24"/>
        </w:rPr>
        <w:t>s</w:t>
      </w:r>
      <w:r>
        <w:rPr>
          <w:rFonts w:ascii="Arial" w:hAnsi="Arial" w:cs="Arial"/>
          <w:sz w:val="24"/>
          <w:szCs w:val="24"/>
        </w:rPr>
        <w:t xml:space="preserve"> 20 Prozent unterschreiten und 25 Prozent überschreiten darf. Fehlt eine Vereinbarung zur wöchentlichen Arbeitszeit gilt eine Arbeitszeit von 20 Stunden. Im Krankheitsfall und an Feiertagen werden wir den Durchschnittsverdienst der letzten drei Monate als verpflichtende Grundlage festschreiben.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Times New Roman" w:hAnsi="Arial" w:cs="Arial"/>
          <w:sz w:val="24"/>
          <w:szCs w:val="24"/>
        </w:rPr>
      </w:pPr>
      <w:r>
        <w:rPr>
          <w:rFonts w:ascii="Arial" w:hAnsi="Arial" w:cs="Arial"/>
          <w:sz w:val="24"/>
          <w:szCs w:val="24"/>
        </w:rPr>
        <w:t>Wir wollen das Arbeitnehmerüberlassungsgesetz 2020 evaluieren.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einen Rahmen schaffen, in dem Unternehmen, Beschäftigte und die Tarifpartner den vielfältigen Wünschen und Anforderungen in der Arbeitszeitgestaltung gerecht werden können. Wir wollen Familien in ihrem Anliegen unterstützen, mehr Zeit füreinander zu haben und die Partnerschaftlichkeit zu stärken. Wir werden dazu </w:t>
      </w:r>
      <w:r>
        <w:rPr>
          <w:rFonts w:ascii="Arial" w:hAnsi="Arial" w:cs="Arial"/>
          <w:sz w:val="24"/>
          <w:szCs w:val="24"/>
        </w:rPr>
        <w:lastRenderedPageBreak/>
        <w:t xml:space="preserve">Modelle entwickeln, mit denen mehr Spielraum für Familienzeit geschaffen werden kann.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Teilzeit- und Befristungsrecht wird ein Recht auf befristete Teilzeit eingeführt. Insbesondere für Frauen ist es wichtig, nach einer Familienphase ihre beruflichen Pläne voll verwirklichen zu können. Gegenüber dem Referentenentwurf zur Weiterentwicklung des Teilzeitrechts werden folgende Änderungen vereinbart:</w:t>
      </w:r>
    </w:p>
    <w:p w:rsidR="007F452D" w:rsidRDefault="007F452D">
      <w:pPr>
        <w:spacing w:after="0" w:line="240" w:lineRule="auto"/>
        <w:contextualSpacing/>
        <w:jc w:val="both"/>
        <w:rPr>
          <w:rFonts w:ascii="Arial" w:hAnsi="Arial" w:cs="Arial"/>
          <w:sz w:val="24"/>
          <w:szCs w:val="24"/>
        </w:rPr>
      </w:pPr>
    </w:p>
    <w:p w:rsidR="007F452D" w:rsidRDefault="006007DF">
      <w:pPr>
        <w:pStyle w:val="Listenabsatz"/>
        <w:numPr>
          <w:ilvl w:val="0"/>
          <w:numId w:val="5"/>
        </w:numPr>
        <w:spacing w:after="0" w:line="240" w:lineRule="auto"/>
        <w:ind w:left="426" w:hanging="426"/>
        <w:jc w:val="both"/>
        <w:rPr>
          <w:rFonts w:ascii="Arial" w:hAnsi="Arial" w:cs="Arial"/>
          <w:sz w:val="24"/>
          <w:szCs w:val="24"/>
        </w:rPr>
      </w:pPr>
      <w:r>
        <w:rPr>
          <w:rFonts w:ascii="Arial" w:hAnsi="Arial" w:cs="Arial"/>
          <w:sz w:val="24"/>
          <w:szCs w:val="24"/>
        </w:rPr>
        <w:t>Es besteht kein Anspruch auf Verlängerung oder Verkürzung der Arbeitszeit oder vorzeitige Rückkehr zur früheren Arbeitszeit während der zeitlich begrenzten Teilzeitarbeit.</w:t>
      </w:r>
    </w:p>
    <w:p w:rsidR="007F452D" w:rsidRDefault="006007DF">
      <w:pPr>
        <w:pStyle w:val="Listenabsatz"/>
        <w:numPr>
          <w:ilvl w:val="0"/>
          <w:numId w:val="5"/>
        </w:numPr>
        <w:spacing w:after="0" w:line="240" w:lineRule="auto"/>
        <w:ind w:left="426" w:hanging="426"/>
        <w:jc w:val="both"/>
        <w:rPr>
          <w:rFonts w:ascii="Arial" w:hAnsi="Arial" w:cs="Arial"/>
          <w:sz w:val="24"/>
          <w:szCs w:val="24"/>
        </w:rPr>
      </w:pPr>
      <w:r>
        <w:rPr>
          <w:rFonts w:ascii="Arial" w:hAnsi="Arial" w:cs="Arial"/>
          <w:sz w:val="24"/>
          <w:szCs w:val="24"/>
        </w:rPr>
        <w:t>Der neue Teilzeitanspruch nach diesem Gesetz gilt nur für Unternehmen, die in der Regel insgesamt mehr als 45 Mitarbeiterinnen und Mitarbeiter beschäftigen.</w:t>
      </w:r>
    </w:p>
    <w:p w:rsidR="007F452D" w:rsidRDefault="006007DF">
      <w:pPr>
        <w:pStyle w:val="Listenabsatz"/>
        <w:numPr>
          <w:ilvl w:val="0"/>
          <w:numId w:val="5"/>
        </w:numPr>
        <w:spacing w:after="0" w:line="240" w:lineRule="auto"/>
        <w:ind w:left="426" w:hanging="426"/>
        <w:jc w:val="both"/>
        <w:rPr>
          <w:rFonts w:ascii="Arial" w:hAnsi="Arial" w:cs="Arial"/>
          <w:sz w:val="24"/>
          <w:szCs w:val="24"/>
        </w:rPr>
      </w:pPr>
      <w:r>
        <w:rPr>
          <w:rFonts w:ascii="Arial" w:hAnsi="Arial" w:cs="Arial"/>
          <w:sz w:val="24"/>
          <w:szCs w:val="24"/>
        </w:rPr>
        <w:t>Für Unternehmensgrößen von 46 bis 200 Mitarbeiterinnen und Mitarbeiter wird eine Zumutbarkeitsgrenze eingeführt, dass lediglich einem pro angefangenen 15</w:t>
      </w:r>
      <w:r w:rsidR="00A65CA3">
        <w:rPr>
          <w:rFonts w:ascii="Arial" w:hAnsi="Arial" w:cs="Arial"/>
          <w:sz w:val="24"/>
          <w:szCs w:val="24"/>
        </w:rPr>
        <w:t> </w:t>
      </w:r>
      <w:r>
        <w:rPr>
          <w:rFonts w:ascii="Arial" w:hAnsi="Arial" w:cs="Arial"/>
          <w:sz w:val="24"/>
          <w:szCs w:val="24"/>
        </w:rPr>
        <w:t xml:space="preserve">Mitarbeiterinnen und Mitarbeiter der Anspruch gewährt werden muss. Bei der Berechnung der zumutbaren Zahlen an Freistellungen werden die ersten 45 Mitarbeiterinnen und Mitarbeiter mitgezählt. Bei Überschreitung dieser Grenze kann der Arbeitgeber einen Antrag ablehnen. </w:t>
      </w:r>
    </w:p>
    <w:p w:rsidR="007F452D" w:rsidRDefault="006007DF">
      <w:pPr>
        <w:pStyle w:val="Listenabsatz"/>
        <w:numPr>
          <w:ilvl w:val="0"/>
          <w:numId w:val="5"/>
        </w:numPr>
        <w:spacing w:after="0" w:line="240" w:lineRule="auto"/>
        <w:ind w:left="426" w:hanging="426"/>
        <w:jc w:val="both"/>
        <w:rPr>
          <w:rFonts w:ascii="Arial" w:hAnsi="Arial" w:cs="Arial"/>
          <w:sz w:val="24"/>
          <w:szCs w:val="24"/>
        </w:rPr>
      </w:pPr>
      <w:r>
        <w:rPr>
          <w:rFonts w:ascii="Arial" w:hAnsi="Arial" w:cs="Arial"/>
          <w:sz w:val="24"/>
          <w:szCs w:val="24"/>
        </w:rPr>
        <w:t>Der Arbeitgeber kann eine befristete Teilzeit ablehnen, wenn diese ein Jahr unter- oder fünf Jahre überschreitet. Die Tarifvertragsparteien erhalten die Möglichkeit, hiervon abweichende Regelungen zu vereinbaren.</w:t>
      </w:r>
    </w:p>
    <w:p w:rsidR="007F452D" w:rsidRDefault="006007DF">
      <w:pPr>
        <w:pStyle w:val="Listenabsatz"/>
        <w:numPr>
          <w:ilvl w:val="0"/>
          <w:numId w:val="5"/>
        </w:numPr>
        <w:spacing w:after="0" w:line="240" w:lineRule="auto"/>
        <w:ind w:left="426" w:hanging="426"/>
        <w:jc w:val="both"/>
        <w:rPr>
          <w:rFonts w:ascii="Arial" w:hAnsi="Arial" w:cs="Arial"/>
          <w:sz w:val="24"/>
          <w:szCs w:val="24"/>
        </w:rPr>
      </w:pPr>
      <w:r>
        <w:rPr>
          <w:rFonts w:ascii="Arial" w:hAnsi="Arial" w:cs="Arial"/>
          <w:sz w:val="24"/>
          <w:szCs w:val="24"/>
        </w:rPr>
        <w:t>Nach Ablauf der zeitlich begrenzten Teilzeitarbeit kann die Arbeitnehmerin oder der Arbeitnehmer frühestens nach einem Jahr eine erneute Verringerung der Arbeitszeit verlangen.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Angesichts der Herausforderungen und Veränderungen durch die Digitalisierung und die Globalisierung in unserer Gesellschaft wollen wir eine neue Arbeitsweltberichterstattung entwickeln, die Sozialstaatsforschung wieder verstärken und die sozialpartnerschaftlich ausgerichtete „Initiative Neue Qualität der Arbeit“ fördern und fortentwickeln.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den Sozialstaat modernisieren und fortlaufend an neue Herausforderungen anpassen. Dazu wollen wir u. a. die gesetzliche Unfallversicherung und das Berufskrankheitenrecht weiterentwickeln.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den Arbeitsschutz insbesondere mit Blick auf die Herausforderungen der Digitalisierung überprüfen. Die vorliegenden Studien der Bundesanstalt für Arbeitsschutz und Arbeitsmedizin, besonders mit Blick auf psychische Erkrankungen, sollen dazu ausgewertet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weltweit gute Arbeit zu fördern und soziale Ungleichheit abzubauen, wollen wir die internationale Zusammenarbeit im Rahmen der Vereinten Nationen – insbesondere der Internationalen Arbeitsorganisation (ILO) – vertiefen und die Zusammenarbeit in den G7 und G20 im Bereich der Beschäftigungs- und Sozialpolitik weiter voranbringen. Unsere Strategie zur Bekämpfung von Zwangsarbeit, Kinderarbeit und Arbeitsausbeutung soll fortgesetzt, verstetigt und intensiviert werden.</w:t>
      </w:r>
    </w:p>
    <w:p w:rsidR="007F452D" w:rsidRDefault="007F452D">
      <w:pPr>
        <w:spacing w:after="0" w:line="240" w:lineRule="auto"/>
        <w:contextualSpacing/>
        <w:rPr>
          <w:rFonts w:ascii="Arial" w:hAnsi="Arial" w:cs="Arial"/>
          <w:sz w:val="24"/>
          <w:szCs w:val="24"/>
        </w:rPr>
      </w:pPr>
    </w:p>
    <w:p w:rsidR="007F452D" w:rsidRDefault="006007DF">
      <w:pPr>
        <w:pStyle w:val="berschrift2"/>
        <w:numPr>
          <w:ilvl w:val="1"/>
          <w:numId w:val="10"/>
        </w:numPr>
        <w:contextualSpacing/>
        <w:rPr>
          <w:szCs w:val="24"/>
        </w:rPr>
      </w:pPr>
      <w:bookmarkStart w:id="20" w:name="_Toc505767155"/>
      <w:r>
        <w:rPr>
          <w:szCs w:val="24"/>
        </w:rPr>
        <w:t>Entlastung der Bürgerinnen und Bürger bei Steuern und Sozialabgaben</w:t>
      </w:r>
      <w:bookmarkEnd w:id="20"/>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insbesondere untere und mittlere Einkommen beim Solidaritätszuschlag entlasten. Wir werden den Solidaritätszuschlag schrittweise abschaffen und ab dem Jahr 2021 mit einem deutlichen ersten Schritt im Umfang von zehn Milliarden Euro </w:t>
      </w:r>
      <w:r>
        <w:rPr>
          <w:rFonts w:ascii="Arial" w:hAnsi="Arial" w:cs="Arial"/>
          <w:sz w:val="24"/>
          <w:szCs w:val="24"/>
        </w:rPr>
        <w:lastRenderedPageBreak/>
        <w:t>beginnen. Dadurch werden rund 90 Prozent aller Zahler des Solidaritätszuschlags durch eine Freigrenze (mit Gleitzone) vollständig vom Solidaritätszuschlag entlastet.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Steuerbelastung der Bürger nicht erhöhen. Wir halten an der bewährten Übung fest, alle zwei Jahre einen Bericht zur Entwicklung der kalten Progression vorzulegen und den Einkommensteuertarif im Anschluss entsprechend zu bereinigen. Wir prüfen zudem eine Anpassung der pauschalen Steuerfreibeträge für Menschen mit einer Behinderung.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Geringverdienerinnen und Geringverdiener werden wir bei Sozialbeiträgen entlasten (Ausweitung Midi-Jobs). Dabei wird sichergestellt, dass die geringeren Rentenversicherungsbeiträge nicht zu geringeren Rentenleistungen im Alter führen.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Theme="majorEastAsia" w:hAnsi="Arial" w:cs="Arial"/>
          <w:b/>
          <w:bCs/>
          <w:sz w:val="24"/>
          <w:szCs w:val="24"/>
        </w:rPr>
      </w:pPr>
      <w:r>
        <w:rPr>
          <w:rFonts w:ascii="Arial" w:hAnsi="Arial" w:cs="Arial"/>
          <w:sz w:val="24"/>
          <w:szCs w:val="24"/>
        </w:rPr>
        <w:t>Wir werden den Beitragssatz zur Arbeitslosenversicherung um 0,3 Prozentpunkte senken.</w:t>
      </w:r>
      <w:r>
        <w:rPr>
          <w:rFonts w:ascii="Arial" w:hAnsi="Arial" w:cs="Arial"/>
          <w:sz w:val="24"/>
          <w:szCs w:val="24"/>
        </w:rPr>
        <w:br w:type="page"/>
      </w:r>
    </w:p>
    <w:p w:rsidR="007F452D" w:rsidRDefault="006007DF">
      <w:pPr>
        <w:pStyle w:val="berschrift1"/>
        <w:numPr>
          <w:ilvl w:val="0"/>
          <w:numId w:val="8"/>
        </w:numPr>
        <w:ind w:left="426" w:hanging="142"/>
        <w:contextualSpacing/>
      </w:pPr>
      <w:bookmarkStart w:id="21" w:name="_Toc505767156"/>
      <w:r>
        <w:lastRenderedPageBreak/>
        <w:t>Erfolgreiche Wirtschaft für den Wohlstand von morgen</w:t>
      </w:r>
      <w:bookmarkEnd w:id="21"/>
    </w:p>
    <w:p w:rsidR="007F452D" w:rsidRDefault="007F452D">
      <w:pPr>
        <w:pStyle w:val="Listenabsatz"/>
        <w:spacing w:after="0" w:line="240" w:lineRule="auto"/>
        <w:ind w:left="426" w:hanging="426"/>
        <w:jc w:val="both"/>
        <w:rPr>
          <w:rFonts w:ascii="Arial" w:hAnsi="Arial" w:cs="Arial"/>
          <w:sz w:val="24"/>
          <w:szCs w:val="24"/>
        </w:rPr>
      </w:pPr>
    </w:p>
    <w:p w:rsidR="007F452D" w:rsidRDefault="006007DF">
      <w:pPr>
        <w:pStyle w:val="berschrift2"/>
        <w:numPr>
          <w:ilvl w:val="1"/>
          <w:numId w:val="11"/>
        </w:numPr>
        <w:contextualSpacing/>
        <w:rPr>
          <w:szCs w:val="24"/>
        </w:rPr>
      </w:pPr>
      <w:bookmarkStart w:id="22" w:name="_Toc505767157"/>
      <w:r>
        <w:rPr>
          <w:szCs w:val="24"/>
        </w:rPr>
        <w:t>Wirtschaft</w:t>
      </w:r>
      <w:bookmarkEnd w:id="22"/>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deutsche Wirtschaft ist in guter Verfassung. Das Gütesiegel „Made in Germany“ steht für alles, was die Wirtschaft dieses Landes ausmacht: Ideen, Innovationen und Qualität. Damit das so bleibt, muss die Wirtschaft durch Stärkung von privaten und öffentlichen Investitionen, durch Stärkung der Innovationen und einen verbesserten Transfer der wissenschaftlichen Erkenntnisse in hochwertige Produkte und Verfahren, durch weitere Modernisierung der Infrastruktur und gezielte Qualifikation der Beschäftigten zukunftsfest gemacht werden. Auch in Zukunft wollen wir unsere internationale Wettbewerbsfähigkeit sichern. Deutschland braucht ein weltweit wettbewerbsfähiges Steuer- und Abgabensystem. Offene Märkte und freier und fairer Handel sind Grundlagen für Wachstum und Beschäftigung, Protektionismus lehnen wir ab. Wir setzen uns im Rahmen der Welthandelsorganisation für ein regelbasiertes, multilaterales Handelssystem ein.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Soziale Marktwirtschaft ist der Motor, der unser Land wirtschaftlich nach vorn gebracht hat. Digitalisierung, Globalisierung, Klimawandel und abnehmender gesellschaftlicher Zusammenhalt stellen uns vor zahlreiche Herausforderungen. Wir wollen mit Hilfe der Prinzipien der Sozialen Marktwirtschaft, wie fairen Wettbewerb, Unternehmerverantwortung, Sozialpartnerschaft, Mitbestimmung und gerechter Verteilung des erwirtschafteten Wohlstands, die Voraussetzungen dafür schaffen, dass wir auch in zehn, fünfzehn Jahren noch Wachstum, Wohlstand und Beschäftigung haben. Eine starke Wirtschaft bedeutet für uns immer auch, dass alle gerecht an den Erfolgen beteiligt werden. Wir brauchen ehrbare Kaufleute als Vorbilder unternehmerischen Handelns. Eigentum und Haftung gehören dabei zusammen.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Inklusives Wachstum schafft die Voraussetzungen dafür, dass alle an den Erfolgen beteiligt werden. Eine funktionierende Sozialpartnerschaft ist eine wichtige Grundlage für den wirtschaftlichen Erfolg Deutschlands. Ein ökonomisch starkes, innovatives, zukunftsorientiertes Europa ist für uns politisch und ökonomisch von zentraler Bedeutung. Eine der zentralen Grundlagen dafür ist ein funktionierender EU-Binnenmarkt, den wir sichern und weiterentwickeln müssen. Ein zentrales Ziel muss dabei sein, den digitalen Binnenmarkt in Europa endlich zu vollenden. Wir brauchen gemeinsame Anstrengungen einer koordinierten Industrie- und Forschungspolitik, um Wettbewerbs- und Innovationsfähigkeit im internationalen Standortwettbewerb zu sichern.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mit Frankreich konkrete Schritte zur Verwirklichung eines deutsch-französischen Wirtschaftsraums mit einheitlichen Regelungen vor allem im Bereich des Unternehmens- und Konkursrechts und zur Angleichung der Bemessungsgrundlage der Körperschaftsteuer vereinbaren. Gemeinsam mit Frankreich werden wir uns für eine entsprechende Harmonisierung der Regelungen zur Vollendung des europäischen Binnenmarkts einsetzen.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Eine gute Zukunft braucht Investitionen und Innovationen. Investitionen in die Infrastruktur und in Schlüsseltechnologien müssen daher oben auf der Agenda stehen. Sie sind wichtig für die Wettbewerbsfähigkeit unseres Landes. Jetzt geht es aber auch zusätzlich um Investitionen in Vernetzungs- und Digitalisierungsstrategien, um moderne Geschäfts- und Managementprozesse, eine moderne, schlanke öffentliche Verwaltung, um Investitionen in Forschung und Entwicklung und die Qualifikation der Mitarbeiterinnen und Mitarbeiter.</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Digitalisierung ist der ökonomische Basistrend unserer Zeit. Über Länder-, Sektoren-, Markt- und Unternehmensgrenzen hinweg findet eine immer intensivere technische und ökonomische Vernetzung statt. Die daraus gerade für Deutschland entstehenden Wachstumschancen sind groß, vor allem im Bereich Wirtschaft 4.0. Diese Chancen werden wir nur nutzen können, wenn wir die digitale Transformation aktiv gestalten, die dafür notwendigen Infrastrukturen bereitstellen und eine digitale Ordnungspolitik entwickeln. Insbesondere die Digitalisierung und Wirtschaft 4.0 bringen eine neue Arbeitswelt mit neuen Qualifikationsanforderungen mit sich. Bildung, Ausbildung und Weiterbildung sind Schlüsselelemente, um den Wandel der Industrie, der Unternehmen und Beschäftigten zukunftsfähig zu machen.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brauchen eine zukunftsorientierte Industriepolitik als Antwort auf den stattfindenden Strukturwandel. In Deutschland und Europa ist das Ziel, auf den entscheidenden Technologiefeldern der Zukunft über eigene Forschungs-, Produktions- und Kompetenzstrukturen zu verfügen.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Kommunale und andere öffentliche Unternehmen sind wichtige Säulen der Sozialen Marktwirtschaft und der Daseinsvorsorge. Sie bieten sichere und gute Arbeit, stärken die regionale Identität und sind unverzichtbar für die Bereitstellung öffentlicher Güter. Sie sind von großer Bedeutung für die lokale Wertschöpfung. Dabei muss die Wettbewerbsgleichheit zwischen öffentlichen und privaten Unternehmen sichergestellt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i/>
          <w:sz w:val="24"/>
          <w:szCs w:val="24"/>
        </w:rPr>
      </w:pPr>
      <w:r>
        <w:rPr>
          <w:rFonts w:ascii="Arial" w:hAnsi="Arial" w:cs="Arial"/>
          <w:sz w:val="24"/>
          <w:szCs w:val="24"/>
        </w:rPr>
        <w:t>Mit einem kohärenten Zusammenspiel von privaten und öffentlichen Investitionen, einer Stärkung der Innovationskraft der Unternehmen, dem gezielten Ausbau moderner Infrastrukturen und einer Qualifikationsoffensive wollen wir, dass Deutschland auch in den nächsten Jahren auf Wachstumskurs bleibt und somit die Bedingungen für mehr Beschäftigung weiter verbessert werden.</w:t>
      </w:r>
      <w:r>
        <w:rPr>
          <w:rFonts w:ascii="Arial" w:hAnsi="Arial" w:cs="Arial"/>
          <w:i/>
          <w:sz w:val="24"/>
          <w:szCs w:val="24"/>
        </w:rPr>
        <w:t xml:space="preserve"> </w:t>
      </w:r>
      <w:r>
        <w:rPr>
          <w:rFonts w:ascii="Arial" w:hAnsi="Arial" w:cs="Arial"/>
          <w:sz w:val="24"/>
          <w:szCs w:val="24"/>
        </w:rPr>
        <w:t>Unser Ziel ist Vollbeschäftigung. Insbesondere Langzeitarbeitslose gilt es, besser zu fördern und zu aktivieren und ihnen den (Wieder-)Einstieg in den Arbeitsmarkt zu ermöglichen. Die Veränderung der Arbeitswelt führt dazu, dass neue Flexibilitätskonsense in der Arbeit notwendig werden. Die Sozialabgaben wollen wir im Interesse von Arbeitnehmerinnen und Arbeitnehmern sowie Arbeitgeberinnen und Arbeitgebern bei unter 40 Prozent stabilisieren.</w:t>
      </w:r>
    </w:p>
    <w:p w:rsidR="007F452D" w:rsidRDefault="007F452D">
      <w:pPr>
        <w:spacing w:after="0" w:line="240" w:lineRule="auto"/>
        <w:contextualSpacing/>
        <w:jc w:val="both"/>
        <w:rPr>
          <w:rFonts w:ascii="Arial" w:hAnsi="Arial" w:cs="Arial"/>
          <w:i/>
          <w:sz w:val="24"/>
          <w:szCs w:val="24"/>
        </w:rPr>
      </w:pPr>
    </w:p>
    <w:p w:rsidR="007F452D" w:rsidRDefault="006007DF">
      <w:pPr>
        <w:pStyle w:val="berschrift3"/>
        <w:contextualSpacing/>
        <w:rPr>
          <w:rFonts w:cs="Arial"/>
          <w:szCs w:val="24"/>
        </w:rPr>
      </w:pPr>
      <w:r>
        <w:rPr>
          <w:rFonts w:cs="Arial"/>
          <w:szCs w:val="24"/>
        </w:rPr>
        <w:t>Industrie</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Deutschland hat mit einem Anteil von 24 Prozent der Bruttowertschöpfung eine starke und leistungsfähige Industrie. Sie ist Träger von Investition, Innovation und Beschäftigung und der harte Kern des deutschen Wirtschaftsstandortes. Diese Stärke unserer Industrie und der Erhalt möglichst vollständiger Wertschöpfungsketten am Standort Deutschland sind wichtige Fundamente unserer Wettbewerbsfähigkeit und eines breiten gesellschaftlichen Wohlstands. Wir wollen die in Deutschland bestehenden geschlossenen Wertschöpfungsketten von der energieintensiven Grundstoffindustrie bis zur Herstellung von High-Tech-Produkten erhalten und ausbauen, ebenso die gewachsenen Clusterstrukturen aus leistungsfähigen Klein-, Mittel- und Großunternehmen und Forschungseinrichtungen.</w:t>
      </w:r>
      <w:r>
        <w:rPr>
          <w:rFonts w:ascii="Arial" w:hAnsi="Arial" w:cs="Arial"/>
          <w:i/>
          <w:sz w:val="24"/>
          <w:szCs w:val="24"/>
        </w:rPr>
        <w:t xml:space="preserve"> </w:t>
      </w:r>
      <w:r>
        <w:rPr>
          <w:rFonts w:ascii="Arial" w:hAnsi="Arial" w:cs="Arial"/>
          <w:sz w:val="24"/>
          <w:szCs w:val="24"/>
        </w:rPr>
        <w:t>Bei der Weiterentwicklung der Rahmenbedingungen gilt es, Kosteneffizienz und Verhältnismäßigkeit zu gewährleisten sowie „Carbon Leakage“ zu verhindern.</w:t>
      </w:r>
      <w:r>
        <w:rPr>
          <w:rFonts w:ascii="Arial" w:hAnsi="Arial" w:cs="Arial"/>
          <w:i/>
          <w:sz w:val="24"/>
          <w:szCs w:val="24"/>
        </w:rPr>
        <w:t xml:space="preserve"> </w:t>
      </w:r>
      <w:r>
        <w:rPr>
          <w:rFonts w:ascii="Arial" w:hAnsi="Arial" w:cs="Arial"/>
          <w:sz w:val="24"/>
          <w:szCs w:val="24"/>
        </w:rPr>
        <w:t>Dazu brauchen die Unternehmen Planungs- und Rechtssicherheit im Planungs- und Umweltrecht, z. B. durch schnellere, einfachere Genehmigungsverfahren und eine konsequente 1:1-Umsetzung von EU-Vorgaben.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Die Digitalisierung der Produktionsprozesse, die Modernisierung der Mobilität und die Nutzung vollkommen neuer Materialien und Produktionstechnologien werden Wertschöpfungsketten nachhaltig verändern und neue, datenbasierte Geschäftsmodelle hervorbringen. Notwendig ist eine zukunftsorientierte Industriepolitik für die Transformation in eine digitale, nachhaltige und wachstumsorientierte Wirtschaft und Gesellschaft.</w:t>
      </w:r>
    </w:p>
    <w:p w:rsidR="007F452D" w:rsidRDefault="007F452D">
      <w:pPr>
        <w:spacing w:after="0" w:line="240" w:lineRule="auto"/>
        <w:contextualSpacing/>
        <w:jc w:val="both"/>
        <w:rPr>
          <w:rFonts w:ascii="Arial" w:hAnsi="Arial" w:cs="Arial"/>
          <w:i/>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die ehrgeizigen umwelt- und klimaschutzpolitischen Ziele zu erreichen, brauchen wir moderne Produkte und Verfahren. Wir wollen ein Förderprogramm Dekarbonisierung in der Industrie auflegen. Es dient der langfristigen Sicherung des Industriestandorts Deutschland, stärkt die internationale Wettbewerbsfähigkeit deutscher Unternehmen und schafft zukunftsfähige Arbeitsplätze in Deutschland.</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 Bündnis „Zukunft der Industrie“ und die Branchendialoge fortsetzen, um wesentliche industriepolitische Belange auch künftig unter Beteiligung von Sozialpartnern, Wissenschaft und Gesellschaft zu erörtern und abzustimmen.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stehen mit intelligenten Fabriken am Beginn der vierten industriellen Revolution. Deutschland hat sich in den letzten Jahren weltweit als führendes Land im Bereich Industrie 4.0 positioniert. Zu diesem Zweck wollen wir die Aktivitäten der Plattform Industrie 4.0 ausbauen und dabei auch spezifische Zukunftsthemen aufgreifen. Zentrale Ziele sind u. a. die Schaffung offener und interoperabler Standards für Indus-trie 4.0 und tragfähige Lösungen für die IT-Sicherheit.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in der Digitalisierung erfolgreich zu sein, müssen Europa und Deutschland sicherstellen, dass digitale Technologien und das Know-how in Wirtschaft, Wissenschaft, Produktion und Verfahren vorhanden sind. Dazu wollen wir den Aufbau von digitalen Schlüsseltechnologien, digitalen Forschungs- und Entwicklungszentren gezielt unterstützen. Es bedarf einer engen Koordination und Kooperation von europäischen und nationalen Initiativen.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bestehenden Technologieprogramme für anwendungsnahe Forschung zur Förderung digitaler Spitzentechnologien wie Quantencomputing, Robotik, autonome Systeme, Augmented Reality (3D Virtualisierung), Blockchain, Visible Light Communication und Smart Home fortführen und ausbauen. Gleichzeitig werden wir gemeinsam mit unseren französischen Partnern ein öffentlich verantwortetes Zentrum für künstliche Intelligenz errichten.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Mikroelektronik als eine Schlüsseltechnologie für die Digitalisierung der Wirt-schaft, für das 5G-Breitbandnetz, für die Elektromobilität und für das automatisierte und vernetzte Fahren wollen wir bei Forschung und Investitionen auch im Europäischen Rahmen weiterhin unterstützen. Wir wollen die Industrie dabei unterstützen, die gesamte Wertschöpfungskette der Elektromobilität in Deutschland und Europa vorzuhalten. Die Ansiedlung einer Batteriezellfertigung ist für Deutschland und Europa ein wichtiges wirtschafts- und industriepolitisches Handlungsfeld. Die Überlegungen der EU-Kommission, im Bereich Batteriezellfertigung ein Programm (IPCEI) aufzulegen, wollen wir unterstützen. Um die Wettbewerbsfähigkeit Deutschlands und Europas zu erhöhen, beteiligt sich Deutschland auch an weiteren Vorhaben von gemeinsamem europäischem Interesse.</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Der Leichtbau trägt maßgeblich zu einer höheren Material- und Energieeffizienz und damit zu einem besseren Umwelt- und Klimaschutz bei. Deshalb wollen wir die Förderung dieser Schlüsseltechnologie mit dem Ziel einer breiteren industriellen Anwendung konsequent fortsetzen und ausbauen sowie branchenübergreifende Kooperationen prüfen. Wir wollen den „Neuen Werkstoffen“ – wie bionisch optimierte Werkstoffe und Adaptive Werkstoffe – verstärkte Aufmerksamkeit widmen und vor allem die branchenübergreifende Forschungsförderung mit dem Schwerpunkt Mittelstand in diesem Bereich ausbauen. Der Wandel zu einer auf erneuerbaren Ressourcen beruhenden Wirtschaft soll mit Hilfe der Bioökonomie weiter vorangetrieben werden. Dazu werden wir frühzeitig einen Dialog zwischen der Industrie und den gesellschaftlichen Akteuren über die Anforderungen an eine veränderte Rohstoffbasis im Rahmen einer Plattform initiieren.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Mobilität – und damit die Automobilwirtschaft – steht aktuell vor enormen Herausforderungen. Klimaschutz, Luftreinhaltung, neue Mobilitäts- und Geschäftsmodelle sowie sich stark divergent entwickelnde Weltmärkte sind hierbei bedeutende Aspekte. Das gemeinsame Ziel, das sich die Weltgemeinschaft u. a. mit dem Pariser Abkommen gesetzt hat, ist die Realisierung einer emissionsarmen und klimaneutralen Mobilität. Hierzu müssen alle Potenziale genutzt werden. Es ist daher von besonderer Bedeutung, dass der Weg zu einer nachhaltigen Mobilität technologieoffen und ohne politische Technologiefestlegung erfolgt. Die Politik ist gefordert, die richtigen Rahmenbedingungen und Grenzwerte zu setzen und deren Einhaltung zu überwachen. Die Wirtschaft ist gefordert, die richtigen Technologien zu entwickeln und mit innovativen Produkten und Geschäftsmodellen die gemeinsam gesetzten Ziele umzusetzen. Das Gelingen dieses Wandels ist wichtig für die Sicherheit der Arbeitsplätze in der Automobilindustrie.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Luft- und Raumfahrtindustrie hat eine strategische Bedeutung für den Hightech-Standort Deutschland. Wir wollen die Mittel der hierfür zentralen Forschungsprogramme auf nationaler Ebene und insbesondere des Luftfahrtforschungsprogramms verstetigen und erhöhen. Um die Beteiligung an internationalen Luftfahrzeug- oder Triebwerkprogrammen zu ermöglichen, wollen wir die Entwicklung neuer, innovativer Produkte am Standort Deutschland weiter unterstützen. Wir setzen uns dafür ein, die Europäische Weltraumorganisation (ESA) als eigenständige internationale Organisation zu erhalten und wollen sie weiter stärken. Wir wollen die Beteiligung innovativer mittelständischer Unternehmen bei Luft- und Raumfahrtprojekten erhöhen. Wir werden ein Weltraumgesetz auf den Weg bringen, um Investitions- und Rechtssicherheit für nicht-staatliche Raumfahrtaktivitäten zu schaffen.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Für ein außenhandelsorientiertes Land wie Deutschland ist eine leistungsstarke, international wettbewerbsfähige maritime Wirtschaft von großer gesamtwirtschaftlicher Bedeutung. Die Ziele der Maritimen Agenda 2025 wollen wir umsetzen und Förderungs- sowie Finanzierungsinstrumente ausbauen. Wir werden auf faire und chancengleiche Wettbewerbsbedingungen für die deutsche Schiffbauindustrie im internationalen Umfeld hinwirken. Den Überwasserschiffbau werden wir als Schlüsseltechnologie Deutschlands einstufen. Wir wollen Flüssiggas (LNG), Landstrom und Wasserstoff als umweltfreundliche Antriebe für Schiffe durch Verstärkung der Förderung im Bereich der See- und Binnenschifffahrt etablieren. Wir streben die zügige Ratifizierung der Work in Fishing Convention (Bekämpfung der illegalen Fischerei) und der Hongkong-Convention (Umwelt- und Sozialstandards im Schiffsrecycling) an. Die </w:t>
      </w:r>
      <w:r>
        <w:rPr>
          <w:rFonts w:ascii="Arial" w:hAnsi="Arial" w:cs="Arial"/>
          <w:sz w:val="24"/>
          <w:szCs w:val="24"/>
        </w:rPr>
        <w:lastRenderedPageBreak/>
        <w:t>Schwerpunkte des Nationalen Masterplans Maritime Technologien (NMMT) werden durch Pilot- und Referenzprojekte sichtbar gemacht.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Eckpunktepapier zur Sicherheits- und Verteidigungsindustrie von 2015 hat die Bundesregierung den Stellenwert der Branche betont und Schlüsseltechnologien definiert. Dabei gewinnt die europäische Ebene immer mehr an Bedeutung. Dies drückt sich in einer Vielzahl von Initiativen der Industrie, der Mitgliedstaaten und der Europäischen Institutionen zur Stärkung von Schlüsseltechnologien in diesem Bereich aus. Wir wollen über die weitere Harmonisierung des Bedarfs in den Mitgliedstaaten der Europäischen Union die gegenwärtige Vielfalt militärischer Systeme reduzieren und durch Anreize für gemeinsame Entwicklung und Fertigung die Kooperationen und die Konsolidierung der Sicherheits- und Verteidigungsindustrie in Europa sowie innerhalb der NATO und vergleichbarer verbündeter Staaten fördern. Diesen Weg wollen wir in Europa begleiten und unterstützen. Vor dem Hintergrund der europäischen Initiativen in diesem Bereich werden wir die Eckpunkte der Bundesregierung weiterentwickeln.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Innovationen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Unser Wohlstand hängt maßgeblich auch von der Innovationsfähigkeit der deutschen Wirtschaft ab. Wir wollen alle vorhandenen Innovationspotenziale nutzen und die Unternehmen, insbesondere auch den innovativen Mittelstand, weiter stärken. Wir wollen eine Transfer-Initiative starten, die die Unternehmen darin unterstützt, die Ergebnisse der wissenschaftlichen Forschung in Produkte und Verfahren umzusetzen. Wir wollen insbesondere für forschende kleine und mittelgroße Unternehmen eine steuerliche Förderung einführen, die bei den Personal- und Auftragskosten für Forschung und Entwicklung ansetzt. Die Projektförderung für die kleinen und mittleren Unternehmen bleibt davon unbenommen. Die Projektförderungen wie z. B. das Zentrale Innovationsprogramm Mittelstand (ZIM), Industrielle Gemeinschaftsforschung (IGF) und die Forschungs- und Entwicklungs-Förderung externer Industrieforschungseinrichtungen (Innovationskompetenz – INNO-KOM) werden weitergeführt sowie transparenter und unbürokratischer gestaltet. Soziale Innovationen haben unsere Unterstützung.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Investitionen von Unternehmen in die Digitalisierung wollen wir unterstützen. Dazu werden wir überprüfen, ob zugunsten digitaler Innovationsgüter die Abschreibungstabellen überarbeitet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Es ist wichtig, die Potenziale der Kultur- und Kreativwirtschaft für den Innovationsstandort Deutschland zu nutzen. Wir wollen den German Motion Picture Fund stärken.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Rohstoffpolitik</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Versorgung mit und der sichere Zugang zu Rohstoffen sind entscheidende Faktoren für den Wirtschaftsstandort. Wir wollen die internationale Zusammenarbeit im Rohstoffbereich weiter stärken, u. a. auf WTO-Ebene und in bilateralen Handelsverträgen sowie auf der Ebene der wissenschaftlich-technologischen Zusammenarbeit. Wir wollen das bestehende Rohstoffmonitoring durch die Deutsche Rohstoffagentur weiter ausbauen mit einem besonderen Fokus auf Rohstoffe und Zwischenprodukte für Zukunftstechnologien (z. B. Elektromobilität, Leichtbau). Wir unterstützen die EU-Kommission beim Aufbau eines EU-weiten Rohstoffinformationssystems. Die bestehenden Kompetenzzentren für Bergbau und Rohstoffe in den Deutschen Auslands</w:t>
      </w:r>
      <w:r>
        <w:rPr>
          <w:rFonts w:ascii="Arial" w:hAnsi="Arial" w:cs="Arial"/>
          <w:sz w:val="24"/>
          <w:szCs w:val="24"/>
        </w:rPr>
        <w:lastRenderedPageBreak/>
        <w:t>handelskammern in rohstoffreichen Ländern wollen wir stärken und im Rahmen der Außenwirtschaftsförderung finanziell dauerhaft absichern sowie die Einrichtung weiterer Kompetenzzentren an geeigneten Standorten prüfen. Vor dem Hintergrund des wachsenden Bedarfs an Hochtechnologie-Rohstoffen wollen wir Projekte im Tiefseebergbau vorantreiben und unterstützen die Durchführung von Pilot-Mining-Tests. Wir setzen uns dafür ein, dass heimische Bodenschätze in Deutschland weiterhin wirtschaftlich abgebaut werden können und die dafür notwendige langfristige Investitions- und Planungssicherheit bestehen bleibt. Wir unterstützen Bemühungen der Industrie, Ressourceneffizienz und Recycling (z. B. von „kritischen“ Metallen) weiter zu steigern und wollen das nationale Ressourceneffizienzprogramm (ProgRess) nach dem Grundsatz „Freiwilligkeit vor Regulierung“ fortentwickeln.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Gemeinschaftsaufgabe „Verbesserung der regionalen Wirtschaftsstruktur“</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ein gesamtdeutsches Fördersystem für strukturschwache Regionen entwickeln, das allen Bundesländern gerecht wird und das Fördergefälle zu Nachbarstaaten Deutschlands berücksichtigt. </w:t>
      </w:r>
      <w:bookmarkStart w:id="23" w:name="_Hlk505083704"/>
      <w:r>
        <w:rPr>
          <w:rFonts w:ascii="Arial" w:hAnsi="Arial" w:cs="Arial"/>
          <w:sz w:val="24"/>
          <w:szCs w:val="24"/>
        </w:rPr>
        <w:t>Die künftige Strukturförderung soll für eine breitere Verwendung geöffnet werden. Neben dem bekannten Instrumentarium müssen Produktivitätssteigerung, Digitalisierung, Fachkräftesicherung, Breitbandversorgung und vor allem die verstärkte Förderung unternehmerischer Aktivitäten in Forschung und Entwicklung in den Vordergrund gerückt werden. Um die flächendeckende Strukturschwäche insbesondere in den neuen Bundesländern zu überwinden, ist die Förderung in den struktur-schwächsten Regionen durch eine Abstufung der Fördersätze zu intensivieren und bei der Mittelverteilung angemessen zu berücksichtigen. Um gleichwertige Lebensverhältnisse in Stadt und Land zu gewährleisten, wollen wir nicht abgerufene Fördermittel aus diesen Bundesprogrammen überjährig bündeln und für Regionalprojekte in strukturschwachen Regionen einsetzen.</w:t>
      </w:r>
      <w:bookmarkEnd w:id="23"/>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Gemeinschaftsaufgabe „Verbesserung der regionalen Wirtschaftsstruktur“ (GRW) soll weiterhin auch und gerade die wirtschaftlichen Strukturprobleme ländlicher und städtischer Räume adressieren. Sie soll auch zum Abbau des Strukturgefälles innerhalb von Bundesländern beitragen. Ebenfalls wollen wir weitere Bundesprogramme im Rahmen der Konzipierung des gesamtdeutschen Fördersystems daraufhin überprüfen, ob und wie sie zur Förderung strukturschwacher Regionen beitragen können. Dabei wollen wir die fachpolitischen Zielrichtungen der Programme wahren.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setzen uns für eine starke EU-Kohäsionspolitik ein, die auch künftig alle Regionen angemessen berücksichtigt und gleichzeitig notwendige Strukturreformen in den Mitgliedstaaten besser unterstützt. Das europäische Beihilferecht ist eine gewichtige Rahmenbedingung für die Ausgestaltung der künftigen Strukturförderung und darf diese nicht konterkarieren. Wir werden den Prozess der Erstellung der neuen Regionalleitlinien auf europäischer Ebene eng begleiten mit dem Ziel, eine beihilferechtliche Flankierung des gesamtdeutschen Strukturfördersystems zu erreichen.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Digitalisierung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Auf EU-Ebene werden wir uns für eine rasche Vollendung des digitalen Binnenmarkts einsetzen – mit flächendeckend leistungsfähigen Breitbandnetzen, einem schnellen und einfachen Zugang zu digitalen Innovationen und Rahmenbedingungen, die Unternehmen und Start-ups eine unbürokratische Skalierung von digitalen Geschäftsmodellen ermöglicht. Wir werden uns auf EU-Ebene außerdem für eine E-Privacy-Verordnung einsetzen, die im Einklang mit der EU-Datenschutz-</w:t>
      </w:r>
      <w:r>
        <w:rPr>
          <w:rFonts w:ascii="Arial" w:hAnsi="Arial" w:cs="Arial"/>
          <w:sz w:val="24"/>
          <w:szCs w:val="24"/>
        </w:rPr>
        <w:lastRenderedPageBreak/>
        <w:t>Grundverordnung die berechtigten Interessen von Verbraucherinnen und Verbrauchern und Wirtschaft angemessen und ausgewogen berücksichtigt.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brauchen eine Modernisierung des Kartellrechts in Bezug auf die Digitalisierung und Globalisierung der Wirtschaftswelt. Wir wollen das Wettbewerbsrecht für digitale Geschäftsmodelle ergänzen. Wir wollen die Verfahren im allgemeinen Wettbewerbsrecht spürbar beschleunigen, ohne dabei rechtsstaatliche Garantien einzuschränken. Ein wichtiger Schritt sollte dabei die Stärkung des Instrumentariums der einstweiligen Maßnahmen sein. Für die Wettbewerbsbehörde soll ein vorläufiges Einschreiten schon vor Abschluss des Hauptsacheverfahrens erleichtert werden, damit irreparable Schäden für den Wettbewerb wirksam verhindert werden. Wir benötigen neben dem allgemeinen Wettbewerbsrecht eine kompetentere und aktivere systematische Marktbeobachtung. Die Wettbewerbsbehörde muss Missbrauch von Marktmacht vor allem auf sich schnell verändernden Märkten zügig und effektiv abstellen können. Dazu werden wir die wettbewerbsbehördliche Aufsicht weiterentwickeln, insbesondere im Hinblick auf Missbräuche von Plattformunternehmen.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Gleichzeitig wollen wir im Wettbewerbsrecht alle Voraussetzungen dafür schaffen, in Deutschland und Europa die Entstehung von Digitalkonzernen zu ermöglichen, die international eine wettbewerbsfähige Größe erreichen. Um Eckpunkte für entsprechende Reformen zu entwickeln, setzen wir eine Kommission „Wettbewerbsrecht 4.0“ ein. Wir streben die Harmonisierung und Zusammenführung der rechtlichen Grundlagen im Digitalbereich an.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die Einrichtung einer Digitalagentur prüfen, die die Bundesregierung als nachgeordnete Behörde in der Umsetzung der Maßnahmen unterstützt. Dazu gehören z. B. die Telekommunikations- und Plattformregulierung oder Marktbeobachtung.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Digitalisierung hat zu gravierenden Veränderungen auf den klassischen Postdienstleistungsmärkten geführt. Daher werden wir die bestehenden Regulierungen überprüfen und vor dem Hintergrund der aktuellen Marktentwicklungen anpassen. Unser Ziel ist es, weiterhin eine qualitativ hochwertige, flächendeckende und erschwingliche Grundversorgung mit Postdienstleistungen sicherzustellen. Es gilt, die Qualität und die Effizienz auf den Postdienstleistungsmärkten zum Wohle der Verbraucherinnen und Verbraucher zu gewährleisten und zu erhöhen.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Mittelstand</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Der Mittelstand ist das Rückgrat unserer Wirtschaft und steht weltweit für hohe Qualitätsstandards. Selbstständige, Familienunternehmen, Freie Berufe und Handwerk schaffen mit Abstand die meisten Arbeits- und Ausbildungsplätze und leisten damit einen wichtigen Beitrag zum Allgemeinwohl. Wir wollen ihre Leistung künftig noch stärker öffentlich anerkennen und fördern. Der Mittelstand prägt Kultur und Selbstverständnis der deutschen Wirtschaft und leistet einen starken Beitrag zur internationalen Wettbewerbsfähigkeit unseres Landes.</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Viele kleine und mittlere Unternehmen sind weltweit Innovationsführer. Das zeigen die ca. 2000 deutschen „Hidden Champions“ mit ihrer Spitzenstellung auf bestimmten Technologiefeldern. Eine wesentliche Aufgabe der Wirtschaftspolitik ist es daher, die Rahmenbedingungen für kleine und mittlere Unternehmen so zu gestalten, dass ihre Entwicklungs- und Wettbewerbsfähigkeit gestärkt und Unternehmensgründungen ermöglicht werden. Dazu wollen wir beispielsweise die Exportfinanzierung bei </w:t>
      </w:r>
      <w:r>
        <w:rPr>
          <w:rFonts w:ascii="Arial" w:hAnsi="Arial" w:cs="Arial"/>
          <w:sz w:val="24"/>
          <w:szCs w:val="24"/>
        </w:rPr>
        <w:lastRenderedPageBreak/>
        <w:t>kleinen Kreditsummen (Small Tickets) unbürokratischer und passgenauer gestalten. Wir wollen mittelständische Unternehmen fördern und durch stärkere Vernetzung Innovationen in diesem Bereich unterstützen.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Das deutsche Handwerk bildet mit rund einer Million Betriebe</w:t>
      </w:r>
      <w:r w:rsidR="00501DC6">
        <w:rPr>
          <w:rFonts w:ascii="Arial" w:hAnsi="Arial" w:cs="Arial"/>
          <w:sz w:val="24"/>
          <w:szCs w:val="24"/>
        </w:rPr>
        <w:t>n</w:t>
      </w:r>
      <w:r>
        <w:rPr>
          <w:rFonts w:ascii="Arial" w:hAnsi="Arial" w:cs="Arial"/>
          <w:sz w:val="24"/>
          <w:szCs w:val="24"/>
        </w:rPr>
        <w:t xml:space="preserve"> und mehr als 5,3 Millionen Erwerbstätigen eine tragende Säule des deutschen Mittelstands. Es ist hoch innovativ, regional verankert und erschließt durch seine leistungsfähigen Unternehmen auch erfolgreich neue Märkte auf europäischer und internationaler Ebene. Auf europäischer Ebene setzen wir uns weiter für den Fortbestand bewährter Qualifikationsstandards ein und lehnen die Einführung des Herkunftslandprinzips ab. Das Kompetenzzentrum „Digitales Handwerk“ wollen wir fortführen.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Freie Berufe sind ein wichtiges Element unserer Wirtschaft. Sie stehen für Vielfalt und unternehmerische Verantwortung. Wir werden uns für die Belange der Freien Berufe einsetzen und darauf hinwirken, dass die hohen Qualitätsstandards und die Unabhängigkeit freiberuflicher Dienstleistungen auch im europäischen Kontext angemessen berücksichtigt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Digitalisierung ist Chance und Herausforderung für den Einzelhandel. Es soll ein Kompetenzzentrum Handel geschaffen werden, um konkrete Hilfestellungen für den kleinen und mittleren Einzelhandel zu leisten.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Voraussetzungen dafür schaffen, dass der Mittelstand auf breiter Front die Chancen der Digitalisierung ergreifen kann und die digitale Transformation des Mittelstands mit gezielten Maßnahmen der Information, Beratung und dem Angebot von Testanwendungen fördern. Dazu wollen wir im Rahmen von Mittelstand-Digital unser bestehendes Netzwerk an Mittelstand 4.0-Kompetenzzentren und Mittelstand 4.0-Agenturen weiter ausbauen. Mit dem neuen bundesweiten Förderprogramm go-digital wollen wir kleine und mittlere Unternehmen sowie Handwerksbetriebe auf den Feldern IT-Sicherheit, digitale Markterschließung und digitalisierte Geschäftsprozesse mit konkreten Maßnahmen unterstützen. Darüber hinaus wollen wir ein neues Investitionsprogramm „Digitalisierung des Mittelstands“ auflegen, um gezielt in digitale Technologien und Know-how zu investieren.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Gründungen</w:t>
      </w:r>
    </w:p>
    <w:p w:rsidR="007F452D" w:rsidRDefault="006007DF">
      <w:pPr>
        <w:spacing w:after="0" w:line="240" w:lineRule="auto"/>
        <w:contextualSpacing/>
        <w:jc w:val="both"/>
        <w:rPr>
          <w:rFonts w:ascii="Arial" w:hAnsi="Arial" w:cs="Arial"/>
          <w:i/>
          <w:sz w:val="24"/>
          <w:szCs w:val="24"/>
        </w:rPr>
      </w:pPr>
      <w:r>
        <w:rPr>
          <w:rFonts w:ascii="Arial" w:hAnsi="Arial" w:cs="Arial"/>
          <w:sz w:val="24"/>
          <w:szCs w:val="24"/>
        </w:rPr>
        <w:t>Wir fördern die Gründungskultur in Deutschland und wollen deshalb unsere erfolgreichen Programme wie EXIST fortführen. Wir schaffen Strukturen, die Neugründungen und Nachfolge in der Start- und Übergangsphase unterstützen. In der Start- und Übergangsphase werden wir die Bürokratiebelastung auf ein Mindestmaß reduzieren. In den ersten beiden Jahren nach Gründung werden wir die Unternehmen von der monatlichen Voranmeldung der Umsatzsteuer befreien. Zudem werden wir die Bedingungen für Wagniskapital weiter verbessern. Antrags-, Genehmigungs- und Besteuerungsverfahren werden wir vereinfachen. Ziel sollte ein „One-Stop-Shop“ sein. Wir brauchen in Deutschland eine deutliche Ausweitung des Volumens des Wagniskapitalmarktes, um insbesondere Unternehmen in der Wachstumsphase zu unterstützen. Deshalb wollen wir die Einführung steuerlicher Anreize zur Mobilisierung von privatem Wagniskapital über die bisherigen Maßnahmen hinaus prüfen. An diesen Wagniskapitalfinanzierungen sollen sich Privatwirtschaft, öffentliche Hand, KfW und europäische Finanzpartner beteiligen. Die klassische Mittelstandsfinanzierung über Sparkassen, Volks- und Genossenschaftsbanken, Privatbanken, Förderbanken sowie Bürgschaftsbanken wollen wir sichern und stärken.</w:t>
      </w:r>
      <w:r>
        <w:rPr>
          <w:rFonts w:ascii="Arial" w:hAnsi="Arial" w:cs="Arial"/>
          <w:i/>
          <w:sz w:val="24"/>
          <w:szCs w:val="24"/>
        </w:rPr>
        <w:t xml:space="preserve">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wollen die Zusammenarbeit von Start-ups mit der etablierten Wirtschaft in geeigneten Formaten weiter unterstützen und den internationalen Austausch von Start-ups, auch im Rahmen der Digital Hub-Initiative und des German Israeli Start-up Exchange Program (GISEP), fördern. Wir werden neue Möglichkeiten der Mitarbeiterbeteiligung prüfen.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Bürokratieabbau</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treiben den Abbau von Bürokratie weiter voran und stärken damit die Wirtschaft. Deshalb wollen wir für diese durch Entlastungen neue Freiräume für ihr Kerngeschäft und neue Investitionen schaffen. Im Rahmen eines Bürokratieabbaugesetzes III werden wir insbesondere die Statistikpflichten weiter verringern. Darüber hinaus werden wir weiterhin u. a. die Vereinheitlichung von Grenz- und Schwellenwerten in verschiedenen Rechtsbereichen, die Harmonisierung, z. B. von handels- und steuerrechtlichen Vorschriften, zeitnahe Betriebsprüfungen durch die Finanzbehörden, die Vermeidung von Doppelmeldung zur Berufsgenossenschaft, die Überprüfung von Schwellenwerten vor allem im Steuer- und Sozialrecht sowie bei Berichtspflichten und der Verwendungspflicht bestimmter Formulare anstreben. Wir setzen eine res-sortübergreifende Bund-Länder-Arbeitsgruppe ein, die zur signifikanten Reduzierung der Statistikpflichten bis Ende 2019 konkrete Vorschläge erarbeitet. Europäische Vorgaben werden wir nicht mit zusätzlichen bürokratischen Belastungen versehen. Auf europäischer Ebene setzen wir uns für die Einführung des Prinzips „one in, one out“ ein. National kann die Bürokratie- und Kostenbremse „one in, one out“ nur erfolgreich sein, wenn die laufenden Kosten erfasst werden. Wir werden uns bei der EU für eine angemessenere Abgrenzung für kleine und mittlere Unternehmen einsetzen, die zukünftig bis zu 500 Mitarbeiterinnen und Mitarbeiter umfassen soll, damit mehr Unternehmen von europäischen Berichtspflichten entlastet werden. Verwaltungsmodernisierung und E-Government bergen enorme Potenziale, um die Bürokratielasten zu reduzieren und die Verfahren zu beschleunigen.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Digitalisierung der Verwaltung und wollen ein zentrales, einheitliches digitales Portal für Bürgerinnen und Bürger sowie Unternehmen schaffen. Die Umsetzung werden wir mit großer Dynamik in dieser Legislaturperiode vorantreiben.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 Onlinezugangsgesetz um einen Digitalisierungspakt zwischen Bund, Ländern und Kommunen ergänzen. Darin bekennen wir uns zu einer vertrauensvollen Zusammenarbeit und regeln die Verteilung der notwendigen Investitionskosten. Damit Bürgerinnen und Bürger sowie Unternehmen ihre Daten nur einmal angeben müssen, entwickeln wir ein behördenübergreifendes Datenmanagement, das die Weitergabe von Daten zwischen Behörden erleichtert und gleichzeitig das hohe deutsche Datenschutzniveau erhält. Wir nutzen das Konzept, die 100 wichtigsten Verwaltungsleistungen online anzubieten. Schwerpunkte setzen wir dabei in den Bereichen Steuern und Abgaben, Bilanzierung und Buchführung, Personal, Ausschreibungen und öffentliche Aufträge, Unternehmensübergang sowie Bauen und Immobilien und erarbeiten die hierfür notwendigen Angebote in enger Abstimmung mit den Nutzerinnen und Nutzern aus den Unternehmen. Hierfür definieren wir verbindliche Meilensteine, innerhalb derer umfassende Angebote in der Legislaturperiode etabliert sein müssen. Dabei ist ein angemessener Ausgleich zwischen den Anforderungen eines modernen E-Governments und einer Digitalisierung der unternehmerischen Geschäftsprozesse erforderlich. Im Interesse einer besseren Rechtsetzung erproben wir die Potenziale von alternativen, insbesondere datengestützten Regulierungsinstrumenten („smarte Regulierung“) in Reallaboren.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Langwierige und bürokratische Planungs- und Genehmigungsverfahren sind ein massives Hindernis für neue Investitionen in Betriebe und neue Infrastrukturen. Dies wirkt sich nachteilig auf die Wettbewerbsfähigkeit des Wirtschaftsstandorts Deutschlands aus, gerade auch für kleinere und mittlere Unternehmen. Wir werden das Planungs- und Genehmigungsrecht daher umfassend auf Beschleunigungs- und Entbürokratisierungsmöglichkeiten überprüfen. EU-Regelungen werden wir 1:1 umsetzen. Ebenso wollen wir uns auf EU-Ebene für eine Reduzierung von Bürokratiebelastungen bei Planungs- und Genehmigungsverfahren einsetzen.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öffentliche Beschaffung ist ein wichtiger Wirtschaftsfaktor. Öffentliche Aufträge müssen mittelstandsfreundlich ausgeschrieben werden. Zur weiteren Vereinheitlichung des Vergaberechts prüfen wir die Zusammenführung von Verfahrensregeln für die Vergabe von Liefer- und Dienstleistungen einerseits und von Bauleistungen andererseits in einer einheitlichen Vergabeverordnung.</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Genossenschaften, Kammern und Tourismus</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Genossenschaften als nachhaltige und krisenfeste Unternehmensform in den unterschiedlichsten Wirtschaftsbereichen stärken. Dazu benötigen wir Maßnahmen, die eine starke Mitgliederbeteiligung unterstützen und kleinere</w:t>
      </w:r>
      <w:r w:rsidR="00501DC6">
        <w:rPr>
          <w:rFonts w:ascii="Arial" w:hAnsi="Arial" w:cs="Arial"/>
          <w:sz w:val="24"/>
          <w:szCs w:val="24"/>
        </w:rPr>
        <w:t>n</w:t>
      </w:r>
      <w:r>
        <w:rPr>
          <w:rFonts w:ascii="Arial" w:hAnsi="Arial" w:cs="Arial"/>
          <w:sz w:val="24"/>
          <w:szCs w:val="24"/>
        </w:rPr>
        <w:t xml:space="preserve"> Genossenschaften Orientierungshilfen bieten. Für die Vereinbarkeit des Kartellrechts mit dem Genossenschaftswesen, das wir stärken wollen, werden wir die entsprechenden Bedingungen schaffen und dafür Leitlinien für die Vereinbarkeit mit dem deutschen Kartellrecht entwickeln.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bekennen uns zu den Kammern und den rechtlichen Grundlagen des bestehenden Kammerwesens. Die Kammern müssen einen spürbaren Beitrag zur Stärkung ihrer Akzeptanz bei den Mitgliedsunternehmen leisten. Wir bestärken sie darin, ihre Leistungen inklusive der Servicequalität für die Mitgliedsunternehmen weiterzuentwickeln und zu verbessern.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Der Tourismus ist ein wichtiger Wirtschaftsfaktor in Deutschland, auch in ländlichen Räumen. Wir wollen die touristische Entwicklung nachhaltig stärken. Wir vereinbaren unter Beachtung der föderalen Grundsätze der Tourismuspolitik (gemeinsam mit den Ländern) und den Kompetenzen des Bundes für die Tourismuswirtschaft einen ganzheitlichen wirtschaftspolitischen Ansatz in Form einer nationalen Tourismusstrategie. Dabei wollen wir die Rahmenbedingungen für den Tourismus in Deutschland weiter verbessern, von der Werbung im Ausland über einheitliche Qualitätskriterien und eine Fachkräfteoffensive mit der Branche bis hin zur Barrierefreiheit. Die Förderinstrumente von EU, Bund und Ländern müssen enger miteinander verzahnt werden.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Fachkräftebedarf</w:t>
      </w:r>
    </w:p>
    <w:p w:rsidR="007F452D" w:rsidRDefault="006007DF">
      <w:pPr>
        <w:pStyle w:val="NurText"/>
        <w:contextualSpacing/>
        <w:jc w:val="both"/>
        <w:rPr>
          <w:rFonts w:ascii="Arial" w:hAnsi="Arial" w:cs="Arial"/>
          <w:sz w:val="24"/>
          <w:szCs w:val="24"/>
        </w:rPr>
      </w:pPr>
      <w:r>
        <w:rPr>
          <w:rFonts w:ascii="Arial" w:hAnsi="Arial" w:cs="Arial"/>
          <w:sz w:val="24"/>
          <w:szCs w:val="24"/>
        </w:rPr>
        <w:t>Um dem Fachkräftemangel in Deutschland zu begegnen, werden wir eine Fachkräftestrategie aufbauend auf der bestehenden „Partnerschaft für Fachkräfte“ entwickeln und stellen sie auf drei Säulen: die inländischen, die innereuropäischen und die internationalen Potenziale. Im Inland setzen wir uns vor allem für eine Qualifizierung von geringqualifizierten Beschäftigten und bessere Rahmenbedingungen für ältere Beschäftigte ein. Diese Aufgaben erfordern eine stärkere gemeinsame Verantwortung von Arbeitgeberinnen und Arbeitgebern und Arbeitnehmerinnen sowie Arbeitnehmern für die berufsbezogene Weiterbildung. Zudem wollen wir durch Qualifizierung und Weiterbildung Langzeitarbeitslosen und Bildungsabbrechern bessere Chancen auf dem Arbeitsmarkt ermöglichen. Vor dem Hintergrund der demografi</w:t>
      </w:r>
      <w:r>
        <w:rPr>
          <w:rFonts w:ascii="Arial" w:hAnsi="Arial" w:cs="Arial"/>
          <w:sz w:val="24"/>
          <w:szCs w:val="24"/>
        </w:rPr>
        <w:lastRenderedPageBreak/>
        <w:t>schen Entwicklung und den Herausforderungen der Digitalisierung wird das lebensbegleitende Lernen immer wichtiger. Die Entwicklung einer Nationalen Weiterbildungsstrategie ist daher von großer Bedeutung. Die Ausbildungsinitiativen innerhalb der Europäischen Union zur Bekämpfung der Jugendarbeitslosigkeit wollen wir stärken. Um Deutschland für qualifizierte internationale Fachkräfte noch attraktiver zu machen, wollen wir ein Fachkräfteeinwanderungsgesetz verabschieden, mit dem wir den Zuzug qualifizierter Arbeitskräfte nach Deutschland ordnen und steuern.</w:t>
      </w:r>
    </w:p>
    <w:p w:rsidR="007F452D" w:rsidRDefault="007F452D">
      <w:pPr>
        <w:pStyle w:val="NurText"/>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den Anteil der Frauen </w:t>
      </w:r>
      <w:r w:rsidR="00501DC6">
        <w:rPr>
          <w:rFonts w:ascii="Arial" w:hAnsi="Arial" w:cs="Arial"/>
          <w:sz w:val="24"/>
          <w:szCs w:val="24"/>
        </w:rPr>
        <w:t xml:space="preserve">am </w:t>
      </w:r>
      <w:r>
        <w:rPr>
          <w:rFonts w:ascii="Arial" w:hAnsi="Arial" w:cs="Arial"/>
          <w:sz w:val="24"/>
          <w:szCs w:val="24"/>
        </w:rPr>
        <w:t>Erwerbsleben in Deutschland erhöhen. Damit leisten wir auch einen wesentlichen Beitrag zur Fachkräftesicherung. Daher werden wir Frauen und Männern die bessere Vereinbarkeit von Beruf und Familie ermöglichen. Wir wollen vor allem auch Frauen den Weg in die Selbstständigkeit erleichtern. Unterstützungsmaßnahmen für Gründerinnen und Unternehmerinnen wollen wir weiterentwickeln und ausbauen sowie erfolgreiche Gründerinnen und Unternehmerinnen in ihrer Vorbildfunktion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Berufliche und akademische Bildung sind für uns gleichwertig. Wir bekennen uns zur dualen Ausbildung in Betrieb und Schule und werden sie stärken. Kooperationen von Wirtschaft und Schulen wollen wir unterstützen, um Selbstständigkeit, Unternehmertum und die Vermittlung von handwerklichen Berufsbildern weiter zu fördern. Wir werden den Meisterbrief erhalten und verteidigen. Wir werden prüfen, wie wir ihn für einzelne Berufsbilder EU-konform einführen können. Um die berufliche Bildung gerade im Handwerk weiter aufzuwerten, soll sie durch die öffentliche Finanzierung der Meisterprüfung dem kostenlosen Hochschulstudium stärker angeglichen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w:t>
      </w:r>
      <w:r w:rsidR="009863D9">
        <w:rPr>
          <w:rFonts w:ascii="Arial" w:hAnsi="Arial" w:cs="Arial"/>
          <w:sz w:val="24"/>
          <w:szCs w:val="24"/>
        </w:rPr>
        <w:t xml:space="preserve">berufliche </w:t>
      </w:r>
      <w:r>
        <w:rPr>
          <w:rFonts w:ascii="Arial" w:hAnsi="Arial" w:cs="Arial"/>
          <w:sz w:val="24"/>
          <w:szCs w:val="24"/>
        </w:rPr>
        <w:t>Bildung werden wir mit einem Berufsbildungspakt modernisieren und stärken. Dazu gehören eine Ausstattungsoffensive für berufliche Schulen vor dem Hintergrund der Digitalisierung und eine Novelle des Berufsbildungsgesetzes. In diesem Rahmen werden wir eine Mindestausbildungsvergütung im Berufsbildungsgesetz verankern. Wir werden mit dem Aufstiegsfortbildungsförderungsgesetz („Aufstiegs-BAföG“) finanzielle Hürden für den beruflichen Aufstieg abbauen und Meisterinnen und Meistern in einem ersten Schritt im Handwerk bei bestandener Meisterprüfung die angefallenen Gebühren ganz oder teilweise erstatten (Meisterbonus). Wir wollen die digitalen Kompetenzen in der beruflichen Bildung stärken. Notwendig ist eine schnellere Modernisierung der Ausbildungsordnungen und Berufsbilder.</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Außenhandel</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freien und fairen Handel in der Welt. Es gilt, in Zeiten der Globalisierung als Europäische Union stärker und einheitlicher in der Handelspolitik aufzutreten. Internationale Organisationen wie Internationaler Währungsfonds, Welthandelsorganisation, Organisation für wirtschaftliche Zusammenarbeit und Entwicklung sowie Weltbank haben sich in den letzten Jahren zu zentralen Foren der Gestaltung multilateraler Standards und Regeln entwickelt. Sie wollen wir weiter unterstützen und stärken. Protektionismus lehnen wir ab und setzen vorrangig auf multilaterale Vereinbarungen. Wir sind fest davon überzeugt, dass neben den Verhandlungen auf multilateraler Ebene bilateralen und plurilateralen Abkommen eine entscheidende Bedeutung für eine aktive Gestaltung der Globalisierung zukommt. Im europäisch-kanadischen Handelsabkommen CETA sind zukunftsweisende Regelungen für den Schutz von Umwelt und Gesundheit, Arbeitnehmerrechten, öffentlicher Daseinsvorsorge und für einen fortschrittlichen Investitionsschutz vereinbart worden. Dies muss auch für künftige Handelsabkommen gelten. Wir wollen in Deutschland die Voraussetzungen dafür </w:t>
      </w:r>
      <w:r>
        <w:rPr>
          <w:rFonts w:ascii="Arial" w:hAnsi="Arial" w:cs="Arial"/>
          <w:sz w:val="24"/>
          <w:szCs w:val="24"/>
        </w:rPr>
        <w:lastRenderedPageBreak/>
        <w:t>schaffen, dass das CETA-Abkommen umfassend in Kraft treten kann. Wir wollen umfassende, moderne bilaterale Freihandelsabkommen mit Drittstaaten insbesondere im asiatisch-pazifischen Raum und Lateinamerika abschließen und unterstützen gleichzeitig das Ziel einer weiteren Vertiefung der transatlantischen Wirtschaftsbeziehungen.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 Außenwirtschaftsförderinstrumentarium, insbesondere in Bezug auf neue Märkte und mit dem Schwerpunkt Afrika, weiterentwickeln. Wir nehmen bewusst die Zukunftsthemen des afrikanischen Kontinents in den Fokus – Digitalisierung, Innovation und Ausbildung – und setzen zu diesem Zwecke das Eckpunktepapier zur wirtschaftlichen Entwicklung Afrikas um, u. a. durch die Stärkung privater Investitionen, Hermes-Bürgschaften und innovativer Finanzierungsinstrumente. Das Netzwerk der Deutschen Auslandshandelskammern ist ein wichtiger Pfeiler unserer Außenwirtschaftspolitik, das wir weiter stärken und ausbauen wollen.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Deutschland als einen offenen Investitionsstandort erhalten, achten aber auf faire Wettbewerbsbedingungen. Wir unterstützen die EU-Initiative für ein verbessertes Investitions-Screening. </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1"/>
        </w:numPr>
      </w:pPr>
      <w:bookmarkStart w:id="24" w:name="_Toc505767158"/>
      <w:r>
        <w:t>Finanzen und Steuern</w:t>
      </w:r>
      <w:bookmarkEnd w:id="24"/>
    </w:p>
    <w:p w:rsidR="007F452D" w:rsidRDefault="007F452D">
      <w:pPr>
        <w:widowControl w:val="0"/>
        <w:spacing w:after="0" w:line="240" w:lineRule="auto"/>
        <w:contextualSpacing/>
        <w:jc w:val="both"/>
      </w:pPr>
    </w:p>
    <w:p w:rsidR="007F452D" w:rsidRDefault="006007DF">
      <w:pPr>
        <w:pStyle w:val="berschrift3"/>
        <w:contextualSpacing/>
        <w:rPr>
          <w:rFonts w:cs="Arial"/>
          <w:szCs w:val="24"/>
        </w:rPr>
      </w:pPr>
      <w:r>
        <w:rPr>
          <w:rFonts w:cs="Arial"/>
          <w:szCs w:val="24"/>
        </w:rPr>
        <w:t>Solide Finanzen</w:t>
      </w: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Wir wollen die finanziellen Spielräume des Bundes, die aufgrund der guten wirtschaftlichen Lage bestehen, verantwortlich und sozial ausgewogen für politische Gestaltung nutzen. Wir sind uns über das Ziel eines ausgeglichenen Haushalts ohne neue Schulden und unter Einhaltung der entsprechenden grundgesetzlichen Vorgaben einig. Wie im Stabilitäts- und Wachstumspakt vorgesehen, wollen wir die gesamtstaatliche Schuldenstandsquote auf unter 60 Prozent des Bruttoinlandsprodukts zurückführen.</w:t>
      </w:r>
    </w:p>
    <w:p w:rsidR="007F452D" w:rsidRDefault="007F452D">
      <w:pPr>
        <w:widowControl w:val="0"/>
        <w:spacing w:after="0" w:line="240" w:lineRule="auto"/>
        <w:contextualSpacing/>
        <w:jc w:val="both"/>
        <w:rPr>
          <w:rFonts w:ascii="Arial" w:eastAsia="Arial" w:hAnsi="Arial" w:cs="Arial"/>
          <w:sz w:val="24"/>
          <w:szCs w:val="24"/>
        </w:rPr>
      </w:pPr>
    </w:p>
    <w:p w:rsidR="007F452D" w:rsidRDefault="006007DF">
      <w:pPr>
        <w:widowControl w:val="0"/>
        <w:spacing w:after="0" w:line="240" w:lineRule="auto"/>
        <w:contextualSpacing/>
        <w:jc w:val="both"/>
        <w:rPr>
          <w:rFonts w:ascii="Arial" w:eastAsia="Helvetica" w:hAnsi="Arial" w:cs="Arial"/>
          <w:sz w:val="24"/>
          <w:szCs w:val="24"/>
        </w:rPr>
      </w:pPr>
      <w:r>
        <w:rPr>
          <w:rFonts w:ascii="Arial" w:hAnsi="Arial" w:cs="Arial"/>
          <w:sz w:val="24"/>
          <w:szCs w:val="24"/>
        </w:rPr>
        <w:t>Das 2011 eingeführte Eckwerteverfahren („Top-Down“) zur Haushaltsaufstellung hat sich bewährt und wird fortgesetzt. Die bestehenden Beteiligungsrechte des Deutschen Bundestags und seines Haushaltsausschusses bei finanzwirksamen Entscheidungen auf europäischer Ebene werden gewahrt.</w:t>
      </w:r>
    </w:p>
    <w:p w:rsidR="007F452D" w:rsidRDefault="007F452D">
      <w:pPr>
        <w:widowControl w:val="0"/>
        <w:spacing w:after="0" w:line="240" w:lineRule="auto"/>
        <w:contextualSpacing/>
        <w:jc w:val="both"/>
        <w:rPr>
          <w:rFonts w:ascii="Arial" w:eastAsia="Arial" w:hAnsi="Arial" w:cs="Arial"/>
          <w:sz w:val="24"/>
          <w:szCs w:val="24"/>
        </w:rPr>
      </w:pPr>
    </w:p>
    <w:p w:rsidR="007F452D" w:rsidRDefault="006007DF">
      <w:pPr>
        <w:widowControl w:val="0"/>
        <w:spacing w:after="0" w:line="240" w:lineRule="auto"/>
        <w:contextualSpacing/>
        <w:jc w:val="both"/>
        <w:rPr>
          <w:rFonts w:ascii="Arial" w:eastAsia="Helvetica" w:hAnsi="Arial" w:cs="Arial"/>
          <w:sz w:val="24"/>
          <w:szCs w:val="24"/>
        </w:rPr>
      </w:pPr>
      <w:r>
        <w:rPr>
          <w:rFonts w:ascii="Arial" w:hAnsi="Arial" w:cs="Arial"/>
          <w:sz w:val="24"/>
          <w:szCs w:val="24"/>
        </w:rPr>
        <w:t>Auf Grundlage des ausgeglichenen Haushalts wollen wir mit den vorhandenen Mitteln noch mehr für die Bürgerinnen und Bürger bewirken. Hierzu gehört auch, durch umfassende Aufgabenkritik sowie durch die regelmäßige Überprüfung der Maßnahmen auf Effektivität und Effizienz zusätzliche Spielräume zu erarbeiten. Dazu werden die Ansätze zur Verbesserung der Wirkungsorientierung des Haushalts, z. B. einnahme- und ausgabeseitige Haushaltsanalysen, gestärkt und weiterentwickelt.</w:t>
      </w:r>
    </w:p>
    <w:p w:rsidR="007F452D" w:rsidRDefault="007F452D">
      <w:pPr>
        <w:widowControl w:val="0"/>
        <w:spacing w:after="0" w:line="240" w:lineRule="auto"/>
        <w:contextualSpacing/>
        <w:jc w:val="both"/>
        <w:rPr>
          <w:rFonts w:ascii="Arial" w:eastAsia="Arial" w:hAnsi="Arial" w:cs="Arial"/>
          <w:b/>
          <w:bCs/>
          <w:sz w:val="24"/>
          <w:szCs w:val="24"/>
        </w:rPr>
      </w:pPr>
    </w:p>
    <w:p w:rsidR="007F452D" w:rsidRDefault="006007DF">
      <w:pPr>
        <w:spacing w:after="0" w:line="240" w:lineRule="auto"/>
        <w:contextualSpacing/>
        <w:jc w:val="both"/>
        <w:rPr>
          <w:rFonts w:ascii="Arial" w:eastAsia="Arial" w:hAnsi="Arial" w:cs="Arial"/>
          <w:sz w:val="24"/>
          <w:szCs w:val="24"/>
        </w:rPr>
      </w:pPr>
      <w:r>
        <w:rPr>
          <w:rFonts w:ascii="Arial" w:hAnsi="Arial" w:cs="Arial"/>
          <w:sz w:val="24"/>
          <w:szCs w:val="24"/>
        </w:rPr>
        <w:t xml:space="preserve">Für die Jahre 2018 bis 2021 sind nach der Finanzplanung des Bundes für die Haushaltsaufstellung (51. Finanzplan) Ausgaben von 1,392 Billionen Euro vorgesehen. Über die dort eingeplanten Maßnahmen hinaus wollen wir den absehbaren finanziellen Spielraum der nächsten vier Jahre für prioritäre Ausgaben in den folgenden Schwerpunkt-Bereichen nutzen: </w:t>
      </w:r>
    </w:p>
    <w:p w:rsidR="00F709A3" w:rsidRDefault="00F709A3">
      <w:pPr>
        <w:rPr>
          <w:rFonts w:ascii="Arial" w:hAnsi="Arial" w:cs="Arial"/>
          <w:b/>
          <w:sz w:val="24"/>
          <w:szCs w:val="24"/>
        </w:rPr>
      </w:pPr>
      <w:r>
        <w:rPr>
          <w:rFonts w:ascii="Arial" w:hAnsi="Arial" w:cs="Arial"/>
          <w:b/>
          <w:sz w:val="24"/>
          <w:szCs w:val="24"/>
        </w:rPr>
        <w:br w:type="page"/>
      </w:r>
    </w:p>
    <w:p w:rsidR="007F452D" w:rsidRDefault="006007DF">
      <w:pPr>
        <w:spacing w:after="120" w:line="240" w:lineRule="auto"/>
        <w:jc w:val="center"/>
        <w:rPr>
          <w:rFonts w:ascii="Arial" w:hAnsi="Arial" w:cs="Arial"/>
          <w:b/>
          <w:sz w:val="24"/>
          <w:szCs w:val="24"/>
        </w:rPr>
      </w:pPr>
      <w:r>
        <w:rPr>
          <w:rFonts w:ascii="Arial" w:hAnsi="Arial" w:cs="Arial"/>
          <w:b/>
          <w:sz w:val="24"/>
          <w:szCs w:val="24"/>
        </w:rPr>
        <w:lastRenderedPageBreak/>
        <w:t>Prioritäre Ausgaben in den folgenden Schwerpunkt-Bereichen</w:t>
      </w:r>
    </w:p>
    <w:p w:rsidR="007F452D" w:rsidRDefault="006007DF">
      <w:pPr>
        <w:spacing w:after="0" w:line="240" w:lineRule="auto"/>
        <w:contextualSpacing/>
        <w:rPr>
          <w:rFonts w:ascii="Arial" w:eastAsia="Arial" w:hAnsi="Arial" w:cs="Arial"/>
          <w:b/>
          <w:sz w:val="24"/>
          <w:szCs w:val="24"/>
        </w:rPr>
      </w:pPr>
      <w:r>
        <w:rPr>
          <w:rFonts w:ascii="Arial" w:hAnsi="Arial" w:cs="Arial"/>
          <w:b/>
          <w:sz w:val="24"/>
          <w:szCs w:val="24"/>
        </w:rPr>
        <w:t>1. Investitionen in Zukunft: Bildung, Forschung, Hochschulen, Digitalisierung</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2018-21</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Programm Ganztagsschule/Ganztagsbetreuung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2,0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Aufstiegsfortbildung in der beruflichen Bildung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0,35</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 xml:space="preserve">Reform BAföG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1,0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Nachfolge Hochschulpakt (ab 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0,6</w:t>
            </w:r>
          </w:p>
        </w:tc>
      </w:tr>
      <w:tr w:rsidR="007F452D">
        <w:trPr>
          <w:trHeight w:val="48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Anteil Bund am schrittweisen Erreichen 3,5-Prozent-Ziel Forschung und Entwicklung bis 2025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2,0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Breitbandausbau, Digitalpakt Schulen (Infrastruktur</w:t>
            </w:r>
            <w:r>
              <w:rPr>
                <w:rFonts w:ascii="Arial" w:hAnsi="Arial" w:cs="Arial"/>
                <w:sz w:val="24"/>
                <w:szCs w:val="24"/>
                <w:vertAlign w:val="superscript"/>
              </w:rPr>
              <w:t>1</w:t>
            </w:r>
            <w:r>
              <w:rPr>
                <w:rFonts w:ascii="Arial" w:hAnsi="Arial" w:cs="Arial"/>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Fonds</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b/>
                <w:bCs/>
                <w:sz w:val="24"/>
                <w:szCs w:val="24"/>
              </w:rPr>
              <w:t>5,95</w:t>
            </w:r>
          </w:p>
        </w:tc>
      </w:tr>
    </w:tbl>
    <w:p w:rsidR="007F452D" w:rsidRDefault="006007DF">
      <w:pPr>
        <w:spacing w:before="120" w:after="0" w:line="240" w:lineRule="auto"/>
        <w:rPr>
          <w:rFonts w:ascii="Arial" w:eastAsia="Arial" w:hAnsi="Arial" w:cs="Arial"/>
          <w:b/>
          <w:sz w:val="24"/>
          <w:szCs w:val="24"/>
        </w:rPr>
      </w:pPr>
      <w:r>
        <w:rPr>
          <w:rFonts w:ascii="Arial" w:hAnsi="Arial" w:cs="Arial"/>
          <w:b/>
          <w:sz w:val="24"/>
          <w:szCs w:val="24"/>
        </w:rPr>
        <w:t xml:space="preserve">2. Familien, Kinder und Soziales </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2018-21</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Erhöhung Kindergeld und Kinderfreibetrag (Anteil Bund)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3,5</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Kita (Gebühren und Qualität)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3,5</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Bekämpfung Kinderarmut durch Kinderzuschlag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1,0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 xml:space="preserve">Eingliederungstitel SGB II: Sozialer Arbeitsmarkt/Soziale Teilhabe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4,0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b/>
                <w:bCs/>
                <w:sz w:val="24"/>
                <w:szCs w:val="24"/>
              </w:rPr>
              <w:t>12,0</w:t>
            </w:r>
          </w:p>
        </w:tc>
      </w:tr>
    </w:tbl>
    <w:p w:rsidR="007F452D" w:rsidRDefault="006007DF">
      <w:pPr>
        <w:spacing w:before="120" w:after="0" w:line="240" w:lineRule="auto"/>
        <w:rPr>
          <w:rFonts w:ascii="Arial" w:eastAsia="Arial" w:hAnsi="Arial" w:cs="Arial"/>
          <w:b/>
          <w:sz w:val="24"/>
          <w:szCs w:val="24"/>
        </w:rPr>
      </w:pPr>
      <w:r>
        <w:rPr>
          <w:rFonts w:ascii="Arial" w:hAnsi="Arial" w:cs="Arial"/>
          <w:b/>
          <w:sz w:val="24"/>
          <w:szCs w:val="24"/>
        </w:rPr>
        <w:t xml:space="preserve">3. Bauen und Wohnen </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2018-21</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Weitere Förderung sozialer Wohnungsbau durch Bund in 2020/2021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2,0</w:t>
            </w:r>
          </w:p>
        </w:tc>
      </w:tr>
      <w:tr w:rsidR="007F452D">
        <w:trPr>
          <w:trHeight w:val="48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eastAsia="Arial" w:hAnsi="Arial" w:cs="Arial"/>
                <w:sz w:val="24"/>
                <w:szCs w:val="24"/>
              </w:rPr>
            </w:pPr>
            <w:r>
              <w:rPr>
                <w:rFonts w:ascii="Arial" w:hAnsi="Arial" w:cs="Arial"/>
                <w:sz w:val="24"/>
                <w:szCs w:val="24"/>
              </w:rPr>
              <w:t xml:space="preserve">Steuerliche Förderung von mehr Wohneigentum </w:t>
            </w:r>
          </w:p>
          <w:p w:rsidR="007F452D" w:rsidRDefault="006007DF">
            <w:pPr>
              <w:contextualSpacing/>
              <w:rPr>
                <w:rFonts w:ascii="Arial" w:hAnsi="Arial" w:cs="Arial"/>
                <w:sz w:val="24"/>
                <w:szCs w:val="24"/>
              </w:rPr>
            </w:pPr>
            <w:r>
              <w:rPr>
                <w:rFonts w:ascii="Arial" w:hAnsi="Arial" w:cs="Arial"/>
                <w:sz w:val="24"/>
                <w:szCs w:val="24"/>
              </w:rPr>
              <w:t>(AfA, energetische Gebäudesanierung, Förderung Eigentum für Familien)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2,0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b/>
                <w:bCs/>
                <w:sz w:val="24"/>
                <w:szCs w:val="24"/>
              </w:rPr>
              <w:t>4,0</w:t>
            </w:r>
          </w:p>
        </w:tc>
      </w:tr>
    </w:tbl>
    <w:p w:rsidR="007F452D" w:rsidRDefault="006007DF">
      <w:pPr>
        <w:spacing w:before="120" w:after="0" w:line="240" w:lineRule="auto"/>
        <w:rPr>
          <w:rFonts w:ascii="Arial" w:eastAsia="Arial" w:hAnsi="Arial" w:cs="Arial"/>
          <w:b/>
          <w:sz w:val="24"/>
          <w:szCs w:val="24"/>
        </w:rPr>
      </w:pPr>
      <w:r>
        <w:rPr>
          <w:rFonts w:ascii="Arial" w:hAnsi="Arial" w:cs="Arial"/>
          <w:b/>
          <w:sz w:val="24"/>
          <w:szCs w:val="24"/>
        </w:rPr>
        <w:t>4. Gleichwertige Lebensverhältnisse, Landwirtschaft, Verkehr und Kommunen</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2018-21</w:t>
            </w:r>
          </w:p>
        </w:tc>
      </w:tr>
      <w:tr w:rsidR="007F452D">
        <w:trPr>
          <w:trHeight w:val="48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Erhöhung der Mittel Gemeindeverkehrsfinanzierungsgesetz (GVFG) 2020/21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1,0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Regionale Strukturpolitik/Strukturwandel Kohlepolitik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1,5</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Ländliche Räume/Landwirtschaft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1,5</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Fortsetzung kommunaler wie auch Landesprogramme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8,0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b/>
                <w:bCs/>
                <w:sz w:val="24"/>
                <w:szCs w:val="24"/>
              </w:rPr>
              <w:t>12,0</w:t>
            </w:r>
          </w:p>
        </w:tc>
      </w:tr>
    </w:tbl>
    <w:p w:rsidR="007F452D" w:rsidRDefault="006007DF">
      <w:pPr>
        <w:spacing w:before="120" w:after="0" w:line="240" w:lineRule="auto"/>
        <w:rPr>
          <w:rFonts w:ascii="Arial" w:eastAsia="Arial" w:hAnsi="Arial" w:cs="Arial"/>
          <w:b/>
          <w:sz w:val="24"/>
          <w:szCs w:val="24"/>
        </w:rPr>
      </w:pPr>
      <w:r>
        <w:rPr>
          <w:rFonts w:ascii="Arial" w:hAnsi="Arial" w:cs="Arial"/>
          <w:b/>
          <w:sz w:val="24"/>
          <w:szCs w:val="24"/>
        </w:rPr>
        <w:lastRenderedPageBreak/>
        <w:t>5. Internationale Verantwortung bei Sicherheit und Entwicklung</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2018-21</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Erhöhung Etats für Verteidigung und ODA-Quote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2,0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b/>
                <w:bCs/>
                <w:sz w:val="24"/>
                <w:szCs w:val="24"/>
              </w:rPr>
              <w:t>2,0</w:t>
            </w:r>
          </w:p>
        </w:tc>
      </w:tr>
    </w:tbl>
    <w:p w:rsidR="007F452D" w:rsidRDefault="006007DF">
      <w:pPr>
        <w:spacing w:before="120" w:after="0" w:line="240" w:lineRule="auto"/>
        <w:rPr>
          <w:rFonts w:ascii="Arial" w:eastAsia="Arial" w:hAnsi="Arial" w:cs="Arial"/>
          <w:b/>
          <w:sz w:val="24"/>
          <w:szCs w:val="24"/>
        </w:rPr>
      </w:pPr>
      <w:r>
        <w:rPr>
          <w:rFonts w:ascii="Arial" w:hAnsi="Arial" w:cs="Arial"/>
          <w:b/>
          <w:sz w:val="24"/>
          <w:szCs w:val="24"/>
        </w:rPr>
        <w:t>6. Entlastung der Bürger</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2018-21</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sz w:val="24"/>
                <w:szCs w:val="24"/>
              </w:rPr>
              <w:t>Solidaritätszuschlag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sz w:val="24"/>
                <w:szCs w:val="24"/>
              </w:rPr>
              <w:t>10,0</w:t>
            </w:r>
          </w:p>
        </w:tc>
      </w:tr>
      <w:tr w:rsidR="007F452D">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rPr>
                <w:rFonts w:ascii="Arial" w:hAnsi="Arial" w:cs="Arial"/>
                <w:sz w:val="24"/>
                <w:szCs w:val="24"/>
              </w:rPr>
            </w:pPr>
            <w:r>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52D" w:rsidRDefault="006007DF">
            <w:pPr>
              <w:contextualSpacing/>
              <w:jc w:val="center"/>
              <w:rPr>
                <w:rFonts w:ascii="Arial" w:hAnsi="Arial" w:cs="Arial"/>
                <w:sz w:val="24"/>
                <w:szCs w:val="24"/>
              </w:rPr>
            </w:pPr>
            <w:r>
              <w:rPr>
                <w:rFonts w:ascii="Arial" w:hAnsi="Arial" w:cs="Arial"/>
                <w:b/>
                <w:bCs/>
                <w:sz w:val="24"/>
                <w:szCs w:val="24"/>
              </w:rPr>
              <w:t>10,0</w:t>
            </w:r>
          </w:p>
        </w:tc>
      </w:tr>
    </w:tbl>
    <w:p w:rsidR="007F452D" w:rsidRDefault="006007DF">
      <w:pPr>
        <w:pStyle w:val="Funotentext"/>
      </w:pPr>
      <w:r>
        <w:rPr>
          <w:rStyle w:val="Funotenzeichen"/>
        </w:rPr>
        <w:footnoteRef/>
      </w:r>
      <w:r>
        <w:t xml:space="preserve"> Die weiteren Maßnahmen werden im Rahmen der Haushaltsaufstellungen 2018/2019 geklärt. </w:t>
      </w:r>
    </w:p>
    <w:p w:rsidR="007F452D" w:rsidRDefault="007F452D">
      <w:pPr>
        <w:widowControl w:val="0"/>
        <w:spacing w:after="0" w:line="240" w:lineRule="auto"/>
        <w:contextualSpacing/>
        <w:jc w:val="both"/>
        <w:rPr>
          <w:rFonts w:ascii="Arial" w:hAnsi="Arial" w:cs="Arial"/>
          <w:sz w:val="24"/>
          <w:szCs w:val="24"/>
        </w:rPr>
      </w:pPr>
    </w:p>
    <w:p w:rsidR="007F452D" w:rsidRDefault="006007DF">
      <w:pPr>
        <w:widowControl w:val="0"/>
        <w:spacing w:after="0" w:line="240" w:lineRule="auto"/>
        <w:contextualSpacing/>
        <w:jc w:val="both"/>
        <w:rPr>
          <w:rFonts w:ascii="Arial" w:hAnsi="Arial" w:cs="Arial"/>
          <w:sz w:val="24"/>
          <w:szCs w:val="24"/>
        </w:rPr>
      </w:pPr>
      <w:r>
        <w:rPr>
          <w:rFonts w:ascii="Arial" w:hAnsi="Arial" w:cs="Arial"/>
          <w:sz w:val="24"/>
          <w:szCs w:val="24"/>
        </w:rPr>
        <w:t xml:space="preserve">Weitere Maßnahmen, auf die sich die Koalition einigt, können finanziert werden, wenn sich zusätzliche finanzielle Spielräume ergeben oder eine entsprechende unmittelbare, vollständige und dauerhafte Gegenfinanzierung sichergestellt ist. </w:t>
      </w:r>
    </w:p>
    <w:p w:rsidR="007F452D" w:rsidRDefault="007F452D">
      <w:pPr>
        <w:widowControl w:val="0"/>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Mit den Versteigerungserlösen der 5G-Lizenzen wollen wir einen Investitionsfonds einrichten, der für den Ausbau der digitalen Infrastruktur zur Verfügung steht.</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stellen die weitere Finanzierung der laufenden Maßnahmen zur Entlastung von Ländern und Kommunen bei den Flüchtlingskosten (Integrationspauschale, Kosten der Unterkunft, unbegleitete minderjährige Flüchtlinge) in den Jahren bis 2021 mit insgesamt weiteren acht Milliarden Euro sicher und gestalten sie gemeinsam – wo erforderlich – effizienter neu aus. </w:t>
      </w:r>
    </w:p>
    <w:p w:rsidR="007F452D" w:rsidRDefault="007F452D">
      <w:pPr>
        <w:spacing w:after="0" w:line="240" w:lineRule="auto"/>
        <w:contextualSpacing/>
        <w:jc w:val="both"/>
        <w:rPr>
          <w:rFonts w:ascii="Arial" w:eastAsia="Arial"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Wir wollen durch die konkrete Programmgestaltung sicherstellen, dass die Mittel, die der Bund für definierte Aufgaben, z. B. den sozialen Wohnungsbau, an andere Gebietskörperschaften gibt, auch vollständig für genau diese Zwecke eingesetzt werden.</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pStyle w:val="berschrift3"/>
        <w:contextualSpacing/>
        <w:rPr>
          <w:rFonts w:cs="Arial"/>
          <w:szCs w:val="24"/>
        </w:rPr>
      </w:pPr>
      <w:r>
        <w:rPr>
          <w:rFonts w:cs="Arial"/>
          <w:szCs w:val="24"/>
        </w:rPr>
        <w:t>Steuerpolitik</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insbesondere untere und mittlere Einkommen beim Solidaritätszuschlag entlasten. Wir werden den Solidaritätszuschlag schrittweise abschaffen und ab dem Jahr 2021 mit einem deutlichen ersten Schritt im Umfang von zehn Milliarden Euro beginnen. Dadurch werden rund 90 Prozent aller Zahler des Solidaritätszuschlags durch eine Freigrenze (mit Gleitzone) vollständig vom Solidaritätszuschlag entlastet.</w:t>
      </w:r>
    </w:p>
    <w:p w:rsidR="007F452D" w:rsidRDefault="007F452D">
      <w:pPr>
        <w:widowControl w:val="0"/>
        <w:spacing w:after="0" w:line="240" w:lineRule="auto"/>
        <w:contextualSpacing/>
        <w:jc w:val="both"/>
        <w:rPr>
          <w:rFonts w:ascii="Arial" w:hAnsi="Arial" w:cs="Arial"/>
          <w:sz w:val="24"/>
          <w:szCs w:val="24"/>
        </w:rPr>
      </w:pPr>
    </w:p>
    <w:p w:rsidR="007F452D" w:rsidRDefault="006007DF">
      <w:pPr>
        <w:widowControl w:val="0"/>
        <w:spacing w:after="0" w:line="240" w:lineRule="auto"/>
        <w:contextualSpacing/>
        <w:jc w:val="both"/>
        <w:rPr>
          <w:rFonts w:ascii="Arial" w:hAnsi="Arial" w:cs="Arial"/>
          <w:sz w:val="24"/>
          <w:szCs w:val="24"/>
        </w:rPr>
      </w:pPr>
      <w:r>
        <w:rPr>
          <w:rFonts w:ascii="Arial" w:hAnsi="Arial" w:cs="Arial"/>
          <w:sz w:val="24"/>
          <w:szCs w:val="24"/>
        </w:rPr>
        <w:t xml:space="preserve">Steuervereinfachung ist eine Daueraufgabe. Es ist ein wichtiges politisches Ziel, hier Schritt für Schritt voranzukommen und dabei insbesondere auch die technischen Möglichkeiten der modernen Datenverarbeitung zu nutzen. Wir werden das Angebot an die Bürger für eine elektronische Kommunikation mit der Finanzverwaltung ausbauen. Wir streben die Einführung einer vorausgefüllten Steuererklärung für alle Steuerpflichtigen bis zum Veranlagungszeitraum 2021 an. </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eine gerechte Verteilung der Steuerlast bei Ehegatten. Wir wollen Ehegatten über das Faktorverfahren besser informieren und die Akzeptanz stärken. Personen mit Steuerklassenkombination III/V sollen in den Steuerbescheiden regelmäßig über das Faktorverfahren informiert und auf die Möglichkeit des Wechsels zur Steuerklassenkombination IV/IV mit Faktor hingewiesen werden. </w:t>
      </w:r>
    </w:p>
    <w:p w:rsidR="007F452D" w:rsidRDefault="006007DF">
      <w:pPr>
        <w:widowControl w:val="0"/>
        <w:spacing w:after="0" w:line="240" w:lineRule="auto"/>
        <w:contextualSpacing/>
        <w:jc w:val="both"/>
        <w:rPr>
          <w:rFonts w:ascii="Arial" w:eastAsia="Helvetica" w:hAnsi="Arial" w:cs="Arial"/>
          <w:sz w:val="24"/>
          <w:szCs w:val="24"/>
        </w:rPr>
      </w:pPr>
      <w:r>
        <w:rPr>
          <w:rFonts w:ascii="Arial" w:hAnsi="Arial" w:cs="Arial"/>
          <w:sz w:val="24"/>
          <w:szCs w:val="24"/>
        </w:rPr>
        <w:lastRenderedPageBreak/>
        <w:t xml:space="preserve">Wir unterstützen in Europa eine gemeinsame Bemessungsgrundlage und Mindestsätze bei den Unternehmenssteuern. Hier wollen wir mit Frankreich Initiativen ergreifen, um auch eine Antwort auf internationale Veränderungen und Herausforderungen, nicht zuletzt in den USA, zu geben. </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Die Abgeltungsteuer auf Zinserträge wird mit der Etablierung des automatischen Informationsaustausches abgeschafft; Umgehungstatbestände werden wir verhindern. An dem bisherigen Ziel der Einführung einer Finanztransaktionsteuer im europäischen Kontext halten wir fest.</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In Deutschland wollen wir einen gerechten Steuervollzug – von der Steuererhebung bis zur Steuerprüfung. Sämtliche aus einer Straftat erlangten Vermögenswerte und alle rechtswidrigen Gewinne sollen konsequent eingezogen werden.</w:t>
      </w:r>
    </w:p>
    <w:p w:rsidR="007F452D" w:rsidRDefault="007F452D">
      <w:pPr>
        <w:widowControl w:val="0"/>
        <w:spacing w:after="0" w:line="240" w:lineRule="auto"/>
        <w:contextualSpacing/>
        <w:jc w:val="both"/>
        <w:rPr>
          <w:rFonts w:ascii="Arial" w:eastAsia="Arial"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 xml:space="preserve">Das Erhebungs- und Erstattungsverfahren der Einfuhrumsatzsteuer stellt einen gravierenden Wettbewerbsnachteil für die deutschen Industrie- und Handelsunternehmen sowie für die deutschen Flug- und Seehäfen dar. Wir werden daher diese Verfahren in Kooperation mit den Bundesländern optimieren. </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Wir werden die Rolle des Bundeszentralamtes für Steuern mit entsprechender Ausstattung stärken und weiterentwickeln. Es soll für Gebietsfremde zur zentralen Anlaufstelle für steuerliche Fragen und verbindliche Auskünfte werden.</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pStyle w:val="berschrift3"/>
        <w:contextualSpacing/>
        <w:rPr>
          <w:rFonts w:cs="Arial"/>
          <w:szCs w:val="24"/>
        </w:rPr>
      </w:pPr>
      <w:r>
        <w:rPr>
          <w:rFonts w:cs="Arial"/>
          <w:szCs w:val="24"/>
        </w:rPr>
        <w:t>Steuerfairness</w:t>
      </w:r>
    </w:p>
    <w:p w:rsidR="007F452D" w:rsidRDefault="006007DF">
      <w:pPr>
        <w:widowControl w:val="0"/>
        <w:spacing w:after="0" w:line="240" w:lineRule="auto"/>
        <w:contextualSpacing/>
        <w:jc w:val="both"/>
        <w:rPr>
          <w:rFonts w:ascii="Arial" w:eastAsia="Helvetica" w:hAnsi="Arial" w:cs="Arial"/>
          <w:sz w:val="24"/>
          <w:szCs w:val="24"/>
        </w:rPr>
      </w:pPr>
      <w:r>
        <w:rPr>
          <w:rFonts w:ascii="Arial" w:hAnsi="Arial" w:cs="Arial"/>
          <w:sz w:val="24"/>
          <w:szCs w:val="24"/>
        </w:rPr>
        <w:t>Wir wollen Steuerhinterziehung, Steuervermeidung, unfairen Steuerwettbewerb und Geldwäsche effizient und unbürokratisch im nationalen, europäischen und internationalen Rahmen bekämpfen.</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Wir unterstützen ausdrücklich alle Bemühungen für eine gerechte Besteuerung großer Konzerne, insbesondere auch der Internetkonzerne. Dabei setzen wir weiterhin auf internationalen Konsens. Durch weltweit möglichst breite Implementierung der OECD-BEPS-Verpflichtungen sowie -Empfehlungen schaffen wir faire steuerliche Wettbewerbsbedingungen für grenzüberschreitende unternehmerische Tätigkeiten. Wir werden unsere Verpflichtungen aus der EU-Anti-Steuervermeidungsrichtlinie im Interesse des Standorts Deutschland umsetzen, die Hinzurechnungsbesteuerung zeitgemäß ausgestalten, Hybridregelungen ergänzen und die Zinsschranke anpassen.</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 xml:space="preserve">Wir werden Maßnahmen für eine angemessene Besteuerung der digitalen Wirtschaft ergreifen. Zur weiteren Bekämpfung des Umsatzsteuerbetrugs beim Handel mit Waren im Internet werden wir gesetzliche Regelungen schaffen, um Betreiberinnen und Betreiber von elektronischen Marktplätzen, die den Handel unredlicher Unternehmerinnen und Unternehmer über ihren Marktplatz nicht unterbinden, für die ausgefallene Umsatzsteuer in Anspruch zu nehmen. Die Betreiberinnen und Betreiber werden wir dazu verpflichten, über die auf ihren Plattformen aktiven Händlerinnen und Händler Auskunft zu erteilen. </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Helvetica" w:hAnsi="Arial" w:cs="Arial"/>
          <w:sz w:val="24"/>
          <w:szCs w:val="24"/>
        </w:rPr>
      </w:pPr>
      <w:r>
        <w:rPr>
          <w:rFonts w:ascii="Arial" w:hAnsi="Arial" w:cs="Arial"/>
          <w:sz w:val="24"/>
          <w:szCs w:val="24"/>
        </w:rPr>
        <w:t xml:space="preserve">Der Zoll leistet wertvolle Arbeit bei der Bekämpfung von Wirtschaftskriminalität, von Geldwäsche und Terrorismusfinanzierung, von Finanz- und Steuerbetrug sowie von Schwarzarbeit und illegaler Beschäftigung. Wir werden den Zoll in allen Aufgabenbereichen, auch bei der Abfertigung internationaler Handelsströme, insbesondere durch </w:t>
      </w:r>
      <w:r>
        <w:rPr>
          <w:rFonts w:ascii="Arial" w:hAnsi="Arial" w:cs="Arial"/>
          <w:sz w:val="24"/>
          <w:szCs w:val="24"/>
        </w:rPr>
        <w:lastRenderedPageBreak/>
        <w:t>Personalmaßnahmen (Stellen, Besoldung) stärken.</w:t>
      </w:r>
    </w:p>
    <w:p w:rsidR="007F452D" w:rsidRDefault="007F452D">
      <w:pPr>
        <w:widowControl w:val="0"/>
        <w:spacing w:after="0" w:line="240" w:lineRule="auto"/>
        <w:contextualSpacing/>
        <w:rPr>
          <w:rFonts w:ascii="Arial" w:eastAsia="Arial" w:hAnsi="Arial" w:cs="Arial"/>
          <w:b/>
          <w:bCs/>
          <w:sz w:val="24"/>
          <w:szCs w:val="24"/>
        </w:rPr>
      </w:pPr>
    </w:p>
    <w:p w:rsidR="007F452D" w:rsidRDefault="006007DF">
      <w:pPr>
        <w:pStyle w:val="berschrift3"/>
        <w:contextualSpacing/>
        <w:rPr>
          <w:rFonts w:cs="Arial"/>
          <w:szCs w:val="24"/>
        </w:rPr>
      </w:pPr>
      <w:r>
        <w:rPr>
          <w:rFonts w:cs="Arial"/>
          <w:szCs w:val="24"/>
        </w:rPr>
        <w:t xml:space="preserve">Finanzmarkt und Digitalisierung </w:t>
      </w: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Unsere Finanzmarktpolitik gibt der realwirtschaftlichen Dienstleistungsfunktion des Finanzsektors Vorrang. Indem wir Transparenz schaffen, nachhaltige Wachstumsstrategien fördern und die Krisenfestigkeit der Finanzmarktakteure stärken, verbessern wir die Funktionsfähigkeit und Stabilität der Finanzmärkte. Risiko und Haftung gehören zusammen. Die Steuerzahlerinnen und Steuerzahler sollen nicht mehr für die Risiken des Finanzsektors einstehen müssen. Für uns gilt deshalb der Grundsatz: Kein Finanzmarktakteur, kein Finanzprodukt und kein Markt darf in Zukunft ohne angemessene Regulierung bleiben. Dies trägt auch zur langfristigen Wettbewerbsfähigkeit der Finanzmärkte bei.</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Wir setzen uns für eine zielgenaue, wirksame und angemessene Finanzmarktregulierung ein. Daher wollen wir die (Wechsel-)Wirkungen der nach der Finanzmarktkrise beschlossenen Regulierungsmaßnahmen untersuchen. Dabei wollen wir prüfen, ob ihre Ziele erreicht wurden und ob die Regulierung und die Aufsicht nach dem Grundsatz der doppelten Proportionalität ausgerichtet sind. Dort, wo es notwendig ist, werden wir auf eine Nachjustierung auch auf europäischer und internationaler Ebene hinwirken. Wir wollen dabei insbesondere kleine Institute entlasten, soweit von ihnen geringe Risiken für die Finanzstabilität ausgehen.</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Regional tätige Finanzinstitute wie Sparkassen, Genossenschaftsbanken und Förderbanken sind wichtige Finanzpartner vieler Menschen und Unternehmen in unserem Land. Wir sehen sie als wichtige Säule für die Stabilität im Finanzsystem und kämpfen daher für ihren Erhalt. Wir werden bei der Regulierung danach unterscheiden, ob es sich um Sparkassen, Genossenschaftsbanken, Förderbanken bzw. kleine und mittlere Privatbanken mit risikoarmen Geschäftsmodellen handelt oder um systemrelevante Großbanken.</w:t>
      </w:r>
    </w:p>
    <w:p w:rsidR="007F452D" w:rsidRDefault="007F452D">
      <w:pPr>
        <w:widowControl w:val="0"/>
        <w:spacing w:after="0" w:line="240" w:lineRule="auto"/>
        <w:contextualSpacing/>
        <w:jc w:val="both"/>
        <w:rPr>
          <w:rFonts w:ascii="Arial" w:eastAsia="Arial"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Im Rahmen einer europäischen oder internationalen Lösung streben wir für Finanzinstitute außerhalb des Banken- und Versicherungssektors, z. B. für Hedgefonds und Schattenbanken, einen Kriterienkatalog zur Prüfung ihrer Bedeutung für das Finanzsystem an. Systemrelevante Finanzinstitute sollen verbindlichen Regulierungsanforderungen und einer Aufsicht unterliegen. Gleiches Geschäft muss gleich reguliert werden.</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Wir werden uns für attraktive Rahmenbedingungen am Finanzplatz Deutschland einsetzen und die digitale Infrastruktur für die Finanzmärkte weiter stärken. Angesichts des bevorstehenden Austritts des Vereinigten Königreichs aus der EU wollen wir den Standort Deutschland für Finanzinstitute attraktiver gestalten. Dazu werden wir es möglich machen, Risikoträger im Sinne von § 2 Abs. 8 Institutsvergütungsverordnung, deren jährliche regelmäßige Grundvergütung das Dreifache der Beitragsbemessungsgrenze in der Rentenversicherung überschreitet, im Kündigungsschutzgesetz leitenden Angestellten gleichzustellen.</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Auch eine kohärente Regulierung und Aufsicht sollen dazu beitragen, Deutschlands Rolle als einer der führenden Digitalisierungs- und FinTech-Standorte zu stärken. Wir werden unnötige bürokratische Hemmnisse beseitigen und dafür sorgen, dass Geschäfte mit gleichen Risiken auch gleich reguliert werden. Um das Poten</w:t>
      </w:r>
      <w:r w:rsidR="00483176">
        <w:rPr>
          <w:rFonts w:ascii="Arial" w:hAnsi="Arial" w:cs="Arial"/>
          <w:sz w:val="24"/>
          <w:szCs w:val="24"/>
        </w:rPr>
        <w:t>z</w:t>
      </w:r>
      <w:r>
        <w:rPr>
          <w:rFonts w:ascii="Arial" w:hAnsi="Arial" w:cs="Arial"/>
          <w:sz w:val="24"/>
          <w:szCs w:val="24"/>
        </w:rPr>
        <w:t>ial der Blockchain-Technologie zu erschließen und Missbrauchsmöglichkeiten zu verhin</w:t>
      </w:r>
      <w:r>
        <w:rPr>
          <w:rFonts w:ascii="Arial" w:hAnsi="Arial" w:cs="Arial"/>
          <w:sz w:val="24"/>
          <w:szCs w:val="24"/>
        </w:rPr>
        <w:lastRenderedPageBreak/>
        <w:t>dern, wollen wir eine umfassende Blockchain-Strategie entwickeln und uns für einen angemessenen Rechtsrahmen für den Handel mit Kryptowährungen und Token auf europäischer und internationaler Ebene einsetzen. Die Möglichkeiten der bargeldlosen Zahlung sollen im digitalen Zeitalter erweitert werden. Anonymes Bezahlen mit Bargeld muss weiterhin möglich bleiben.</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eastAsia="Arial" w:hAnsi="Arial" w:cs="Arial"/>
          <w:sz w:val="24"/>
          <w:szCs w:val="24"/>
        </w:rPr>
      </w:pPr>
      <w:r>
        <w:rPr>
          <w:rFonts w:ascii="Arial" w:hAnsi="Arial" w:cs="Arial"/>
          <w:sz w:val="24"/>
          <w:szCs w:val="24"/>
        </w:rPr>
        <w:t>Die Sicherheit der IT-Systeme ist sowohl für Kundinnen und Kunden als auch für die Stabilität der Finanzmärkte von großer Bedeutung. Die Abwehr von Cyber-Angriffen stellt auch für Finanzdienstleister eine wesentliche Herausforderung dar. Wir wollen die Fähigkeiten der Finanzaufsicht im Bereich Digitalisierung und IT-Sicherheit stärken und auch die Zusammenarbeit mit allen zuständigen Aufsichts- und Sicherheitsbehörden intensivieren.</w:t>
      </w:r>
    </w:p>
    <w:p w:rsidR="007F452D" w:rsidRDefault="007F452D">
      <w:pPr>
        <w:widowControl w:val="0"/>
        <w:spacing w:after="0" w:line="240" w:lineRule="auto"/>
        <w:contextualSpacing/>
        <w:jc w:val="both"/>
        <w:rPr>
          <w:rFonts w:ascii="Arial" w:eastAsia="Helvetica" w:hAnsi="Arial" w:cs="Arial"/>
          <w:sz w:val="24"/>
          <w:szCs w:val="24"/>
        </w:rPr>
      </w:pPr>
    </w:p>
    <w:p w:rsidR="007F452D" w:rsidRDefault="006007DF">
      <w:pPr>
        <w:widowControl w:val="0"/>
        <w:spacing w:after="0" w:line="240" w:lineRule="auto"/>
        <w:contextualSpacing/>
        <w:jc w:val="both"/>
        <w:rPr>
          <w:rFonts w:ascii="Arial" w:hAnsi="Arial" w:cs="Arial"/>
          <w:sz w:val="24"/>
          <w:szCs w:val="24"/>
        </w:rPr>
      </w:pPr>
      <w:r>
        <w:rPr>
          <w:rFonts w:ascii="Arial" w:hAnsi="Arial" w:cs="Arial"/>
          <w:sz w:val="24"/>
          <w:szCs w:val="24"/>
        </w:rPr>
        <w:t xml:space="preserve">Wir wollen die bisherigen Maßnahmen zum finanziellen Verbraucherschutz evaluieren. </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1"/>
        </w:numPr>
        <w:contextualSpacing/>
        <w:rPr>
          <w:szCs w:val="24"/>
        </w:rPr>
      </w:pPr>
      <w:bookmarkStart w:id="25" w:name="_Toc505767159"/>
      <w:r>
        <w:rPr>
          <w:szCs w:val="24"/>
        </w:rPr>
        <w:t>Energie</w:t>
      </w:r>
      <w:bookmarkEnd w:id="25"/>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im Energiebereich die Rahmenbedingungen so setzen, dass die Energiewende zum Treiber für Energieeffizienz, Modernisierung, Innovationen und Digitalisierung im Strom-, Wärme-, Landwirtschafts- und Verkehrssektor wird, ohne die internationale Wettbewerbsfähigkeit des Industriestandortes Deutschland zu gefährden. Die dafür erforderliche Versorgungssicherheit muss durch entsprechende Rahmenbedingungen auch am deutschen Energiemarkt zuverlässig gewährleistet sein. Die Einbettung der Energiewende in den europäischen Zusammenhang eröffnet die Chance, die Kosten zu senken und Synergien zu nutzen. Wir wollen zusätzliche Wachstums- und Beschäftigungschancen in Deutschland und Exportchancen für deutsche Unternehmen auf internationalen Märkten. Zentrale Orientierung bleibt das energiepolitische Zieldreieck von Versorgungssicherheit, verlässlicher Bezahlbarkeit und Umweltverträglichkeit.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internationale Energiezusammenarbeit ausbauen, um die Vorreiterrolle Deutschlands bei der Energiewende international zu nutzen und die Wettbewerbsfähigkeit deutscher Unternehmen zu unterstützen. Um die deutsche Wirtschaft weltweit zu vernetzen, werden wir verstärkt die internationalen Formate (z. B. G7, G20) sowie die internationalen Energieinstitutionen (z. B. IEA, IRENA) nutzen. Wir werden weitere bilaterale Energiepartnerschaften entwickeln, mit dem Ziel, der deutschen Industrie den Marktzugang zu erleichtern und die weltweite Energiewende voranzubringen.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Eine Voraussetzung für eine erfolgreiche Energiewende und Klimaschutzpolitik ist ein weiterer zielstrebiger, effizienter, netzsynchroner und zunehmend marktorientierter Ausbau der Erneuerbaren Energien. Unter diesen Voraussetzungen streben wir einen Anteil von etwa 65 Prozent Erneuerbarer Energien bis 2030 an und werden entsprechende Anpassungen vornehmen. Der Ausbau der Erneuerbaren Energien muss deutlich erhöht werden, auch um den zusätzlichen Strombedarf zur Erreichung der Klimaschutzziele im Verkehr, in Gebäuden und in der Industrie zu decken.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Vorgesehen sind Sonderausschreibungen, mit denen acht bis zehn Millionen Tonnen CO</w:t>
      </w:r>
      <w:r>
        <w:rPr>
          <w:rFonts w:ascii="Arial" w:hAnsi="Arial" w:cs="Arial"/>
          <w:sz w:val="24"/>
          <w:szCs w:val="24"/>
          <w:vertAlign w:val="subscript"/>
        </w:rPr>
        <w:t>2</w:t>
      </w:r>
      <w:r>
        <w:rPr>
          <w:rFonts w:ascii="Arial" w:hAnsi="Arial" w:cs="Arial"/>
          <w:sz w:val="24"/>
          <w:szCs w:val="24"/>
        </w:rPr>
        <w:t xml:space="preserve"> zum Klimaschutzziel 2020 beitragen sollen. Hier sollen je vier Gigawatt Onshore-Windenergie und Photovoltaik sowie ein Offshore-Windenergiebeitrag zugebaut </w:t>
      </w:r>
      <w:r>
        <w:rPr>
          <w:rFonts w:ascii="Arial" w:hAnsi="Arial" w:cs="Arial"/>
          <w:sz w:val="24"/>
          <w:szCs w:val="24"/>
        </w:rPr>
        <w:lastRenderedPageBreak/>
        <w:t>werden, je zur Hälfte wirksam in 2019 und 2020. Voraussetzung ist die Aufnahmefähigkeit der entsprechenden Netze.</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Herausforderung besteht in einer besseren Synchronisierung von Erneuerbaren Energien und Netzkapazitäten. Wir halten an dem Ziel der einheitlichen Stromgebotszone in Deutschland fest. Wir werden eine bessere regionale Steuerung des Ausbaus der Erneuerbaren Energien einführen und für die Ausschreibungen südlich des Netzengpasses einen Mindestanteil über alle Erzeugungsarten festlegen. Wir werden die Akteursvielfalt auch künftig sicherstellen, aber ausschließlich bundesimmissionsschutzrechtlich genehmigte Projekte an Ausschreibungen teilnehmen lassen.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durch eine stärkere Marktorientierung der Erneuerbaren Energien Investitionen in Speichertechnologien und intelligente Vermarktungskonzepte fördern. Ziel ist es, die Versorgungssicherheit in allen Teilen Deutschlands weiterhin sicherzustellen und die EEG- und Systemkosten so gering wie möglich zu halten.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Offshore-Windenergie hat eine industriepolitische Bedeutung für Deutschland und kann auch zur Kostensenkung beitragen. Wir setzen uns deshalb für ein nationales Offshore-Testfeld ein, mit dem wir die Offshore-Potenziale in der Energiewende erforschen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Anstrengungen zum Ausbau und zur Modernisierung der Energienetze unternehmen. Zu diesem Zweck werden wir einen ambitionierten Maßnahmenplan zur Optimierung der Bestandsnetze und zum schnelleren Ausbau der Stromnetze erarbeiten. Es geht darum, mit neuen Technologien und einer stärkeren Digitalisierung, aber auch mit einer besseren Zusammenarbeit der Netzbetreiber die vorhandenen Netze höher auszulasten. Wir werden das Netzausbaubeschleunigungsgesetz novellieren und vereinfachen. Notwendig sind auch ökonomische Anreize für eine Optimierung der Netze;</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mehr Akzeptanz für den Netzausbau schaffen und zu dessen Beschleunigung beitragen, indem wir mehr Erdverkabelung insbesondere im Wechselstrombereich und dort vor allem an neuralgischen Punkten, soweit technisch machbar, ermöglichen. Die politischen Vereinbarungen unserer Parteivorsitzenden („Eckpunkte für eine erfolgreiche Umsetzung der Energiewende“) vom 1. Juli 2015 gelten fort;</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die Verordnung zur Umsetzung der bereits beschlossenen bundesweit einheitlichen Übertragungsnetzentgelte unverzüglich erarbeiten;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mit einer Reform der Netzentgelte die Kosten verursachergerecht und unter angemessener Berücksichtigung der Netzdienlichkeit verteilen und bei Stromverbrauchern unter Wahrung der Wettbewerbsfähigkeit mehr Flexibilität ermöglichen;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unter Anerkennung der zunehmenden Verantwortung der Stromverteilnetzbetreiber den Regulierungsrahmen weiterentwickeln, um Investitionen in intelligente Lösungen (Digitalisierung) – gerade auch im Bereich der Verteilnetze – zu flankieren;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im Rahmen des gesetzlichen Monitorings die Bezahlbarkeit von Energie und die Versorgungssicherheit regelmäßig bewerten. Außerdem werden wir jedes Jahr überprüfen, wie sich die Netzengpässe entwickeln, und ab Anfang 2019 daraus den notwendigen Handlungsbedarf ableiten (Stresstests);</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beim weiteren Ausbau der Windenergie an Land einen besseren Interessenausgleich zwischen Erneuerbaren-Branche einerseits und Naturschutz- und Anwohneranliegen andererseits gewährleisten;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lastRenderedPageBreak/>
        <w:t>durch eine bundeseinheitliche Regelung beim weiteren Ausbau der Erneuerbaren Energien (EE) die Standortgemeinden stärker an der Wertschöpfung von EE-Anlagen beteiligen und die Möglichkeiten einer Projektbeteiligung von Bürgerinnen und Bürgern verbessern, ohne dass dies insgesamt zu Kostensteigerungen beim EE-Ausbau führt. Wir werden die bestehende Mieterstromregelung optimieren, indem der Verlust der tradierten gewerbesteuerlichen Behandlung von Wohnungsbaugenossenschaften vermieden wird, um nachhaltige Mieterstrommodelle zu ermöglichen;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die Kopplung der Sektoren Wärme, Mobilität und Elektrizität in Verbindung mit Speichertechnologien voranbringen. Dafür müssen die Rahmenverbindungen angepasst werden. Stadtwerke und Verteilnetzbetreiber haben durch ihre Nähe zu Energieversorgern und Verbrauchern sowie dem öffentlichen Nahverkehr eine Schlüsselposition in der Sektorkopplung. Für Speicher wollen wir entsprechende Forschungs- und Fördermittel bereitstellen. Deutschland soll wieder Standort für Batteriezellproduktion werden. Wir wollen ein Fraunhofer-Institut für Speichertechnologien einrichten und vorhandene Kompetenzen einbinden. Die Wasserstofftechnologie wollen wir stärken;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prüfen, inwieweit zukünftig nicht mehr benötigte Kraftwerksstandorte für große thermische Speicher-Kraftwerke genutzt werden können. Wir werden die unterschiedliche Belastung von gespeicherter Energie prüfen und vereinheitlichen. Wir werden Speichern die Möglichkeit eröffnen, mehrere Dienstleistungen gleichzeitig zu erbringen, etwa Regelenergie und Mieterstrom. Wir werden Wärmespeicher insbesondere für Quartiers- und Siedlungslösungen unterstützen;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die Kraft-Wärme-Kopplung (KWK) weiterentwickeln und umfassend modernisieren, so dass sie im Rahmen der Energiewende eine Zukunft hat. Wir werden die Kraft-Wärme-Kopplung CO</w:t>
      </w:r>
      <w:r>
        <w:rPr>
          <w:rFonts w:ascii="Arial" w:hAnsi="Arial" w:cs="Arial"/>
          <w:sz w:val="24"/>
          <w:szCs w:val="24"/>
          <w:vertAlign w:val="subscript"/>
        </w:rPr>
        <w:t>2</w:t>
      </w:r>
      <w:r>
        <w:rPr>
          <w:rFonts w:ascii="Arial" w:hAnsi="Arial" w:cs="Arial"/>
          <w:sz w:val="24"/>
          <w:szCs w:val="24"/>
        </w:rPr>
        <w:t>-ärmer ausgestalten und flexibilisieren. Wir wollen KWK-Anlagen und die Fernwärmeinfrastruktur ausbauen und effizienter machen;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die Planung und Finanzierung von Energieinfrastrukturen – einschließlich der bestehenden Gas- und Wärmeinfrastruktur für die Sektorkopplung – so reformieren, dass die verschiedenen Infrastrukturen koordiniert energiewendetauglich und kosteneffizient weiterentwickelt werden;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Deutschland zum Standort für LNG-Infrastruktur machen.</w:t>
      </w:r>
    </w:p>
    <w:p w:rsidR="007F452D" w:rsidRDefault="007F452D">
      <w:pPr>
        <w:tabs>
          <w:tab w:val="left" w:pos="820"/>
        </w:tabs>
        <w:spacing w:after="0" w:line="240" w:lineRule="auto"/>
        <w:ind w:right="-23"/>
        <w:contextualSpacing/>
        <w:jc w:val="both"/>
        <w:rPr>
          <w:rFonts w:ascii="Arial" w:eastAsia="Cambria" w:hAnsi="Arial" w:cs="Arial"/>
          <w:sz w:val="24"/>
          <w:szCs w:val="24"/>
        </w:rPr>
      </w:pPr>
    </w:p>
    <w:p w:rsidR="007F452D" w:rsidRDefault="006007DF">
      <w:pPr>
        <w:tabs>
          <w:tab w:val="left" w:pos="820"/>
        </w:tabs>
        <w:spacing w:after="0" w:line="240" w:lineRule="auto"/>
        <w:ind w:right="-23"/>
        <w:contextualSpacing/>
        <w:jc w:val="both"/>
        <w:rPr>
          <w:rFonts w:ascii="Arial" w:eastAsia="Cambria" w:hAnsi="Arial" w:cs="Arial"/>
          <w:sz w:val="24"/>
          <w:szCs w:val="24"/>
        </w:rPr>
      </w:pPr>
      <w:r>
        <w:rPr>
          <w:rFonts w:ascii="Arial" w:eastAsia="Cambria" w:hAnsi="Arial" w:cs="Arial"/>
          <w:sz w:val="24"/>
          <w:szCs w:val="24"/>
        </w:rPr>
        <w:t>Wir werden unter breiter Beteiligung eine ambitionierte und sektorenübergreifende Energieeffizienzstrategie des Bundes erarbeiten und darin das Leitprinzip „Efficiency First“ verankern mit dem Ziel, den Energieverbrauch bis zum Jahr 2050 um 50 Prozent zu senken. Den Nationalen Aktionsplan Energieeffizienz (NAPE) werden wir basierend auf den Ergebnissen des Grünbuchs Energieeffizienz weiterentwickeln und schnellstmöglich umsetzen. Bestehende Programme zur Förderung der Energieeffizienz wollen wir evaluieren und bei Bedarf nutzergerecht optimieren. Wir wollen die Fördermittel auf dem derzeitigen Niveau stabilisieren.</w:t>
      </w:r>
    </w:p>
    <w:p w:rsidR="007F452D" w:rsidRDefault="007F452D">
      <w:pPr>
        <w:tabs>
          <w:tab w:val="left" w:pos="820"/>
        </w:tabs>
        <w:spacing w:after="0" w:line="240" w:lineRule="auto"/>
        <w:ind w:right="-20"/>
        <w:contextualSpacing/>
        <w:jc w:val="both"/>
        <w:rPr>
          <w:rFonts w:ascii="Arial" w:eastAsia="Cambria" w:hAnsi="Arial" w:cs="Arial"/>
          <w:sz w:val="24"/>
          <w:szCs w:val="24"/>
        </w:rPr>
      </w:pPr>
    </w:p>
    <w:p w:rsidR="007F452D" w:rsidRDefault="006007DF">
      <w:pPr>
        <w:tabs>
          <w:tab w:val="left" w:pos="820"/>
        </w:tabs>
        <w:spacing w:after="0" w:line="240" w:lineRule="auto"/>
        <w:ind w:right="-20"/>
        <w:contextualSpacing/>
        <w:jc w:val="both"/>
        <w:rPr>
          <w:rFonts w:ascii="Arial" w:eastAsia="Cambria" w:hAnsi="Arial" w:cs="Arial"/>
          <w:sz w:val="24"/>
          <w:szCs w:val="24"/>
        </w:rPr>
      </w:pPr>
      <w:r>
        <w:rPr>
          <w:rFonts w:ascii="Arial" w:eastAsia="Cambria" w:hAnsi="Arial" w:cs="Arial"/>
          <w:sz w:val="24"/>
          <w:szCs w:val="24"/>
        </w:rPr>
        <w:t>Wir werden die Energieforschung vermehrt auf die Energiewende ausrichten. Gemeinsam mit der Wirtschaft und der Wissenschaft werden wir neue Formate der Vernetzung schaffen, die uns helfen, die Wertschöpfung und die klügsten Köpfe in Deutschland zu halten. Dazu wollen wir u. a.:</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eastAsia="Cambria" w:hAnsi="Arial" w:cs="Arial"/>
          <w:sz w:val="24"/>
          <w:szCs w:val="24"/>
        </w:rPr>
        <w:t xml:space="preserve">im </w:t>
      </w:r>
      <w:r>
        <w:rPr>
          <w:rFonts w:ascii="Arial" w:hAnsi="Arial" w:cs="Arial"/>
          <w:sz w:val="24"/>
          <w:szCs w:val="24"/>
        </w:rPr>
        <w:t>Rahmen der Energieforschung gezielt öffentliche Mittel zur Entwicklung CO</w:t>
      </w:r>
      <w:r>
        <w:rPr>
          <w:rFonts w:ascii="Arial" w:hAnsi="Arial" w:cs="Arial"/>
          <w:sz w:val="24"/>
          <w:szCs w:val="24"/>
          <w:vertAlign w:val="subscript"/>
        </w:rPr>
        <w:t>2</w:t>
      </w:r>
      <w:r>
        <w:rPr>
          <w:rFonts w:ascii="Arial" w:hAnsi="Arial" w:cs="Arial"/>
          <w:sz w:val="24"/>
          <w:szCs w:val="24"/>
        </w:rPr>
        <w:t>-armer Industrieprozesse bzw. zur CO</w:t>
      </w:r>
      <w:r>
        <w:rPr>
          <w:rFonts w:ascii="Arial" w:hAnsi="Arial" w:cs="Arial"/>
          <w:sz w:val="24"/>
          <w:szCs w:val="24"/>
          <w:vertAlign w:val="subscript"/>
        </w:rPr>
        <w:t>2</w:t>
      </w:r>
      <w:r>
        <w:rPr>
          <w:rFonts w:ascii="Arial" w:hAnsi="Arial" w:cs="Arial"/>
          <w:sz w:val="24"/>
          <w:szCs w:val="24"/>
        </w:rPr>
        <w:t>-Kreislaufwirtschaft bereitstellen,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den Übergang von Forschung zu Demonstration und Markteinführung unterstützen und die „Reallabore“ (z. B. Power to Gas/Power to Liquid) als weitere Säule der Energieforschung ausbauen,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lastRenderedPageBreak/>
        <w:t>den Zugang</w:t>
      </w:r>
      <w:r>
        <w:rPr>
          <w:rFonts w:ascii="Arial" w:eastAsia="Cambria" w:hAnsi="Arial" w:cs="Arial"/>
          <w:sz w:val="24"/>
          <w:szCs w:val="24"/>
        </w:rPr>
        <w:t xml:space="preserve"> zu der Forschungsförderung für Start-ups deutlich erleichtern.</w:t>
      </w:r>
    </w:p>
    <w:p w:rsidR="007F452D" w:rsidRDefault="007F452D">
      <w:pPr>
        <w:spacing w:after="0" w:line="240" w:lineRule="auto"/>
        <w:contextualSpacing/>
        <w:rPr>
          <w:rFonts w:ascii="Arial" w:hAnsi="Arial" w:cs="Arial"/>
          <w:sz w:val="24"/>
          <w:szCs w:val="24"/>
        </w:rPr>
      </w:pPr>
    </w:p>
    <w:p w:rsidR="007F452D" w:rsidRDefault="006007DF">
      <w:pPr>
        <w:pStyle w:val="berschrift2"/>
        <w:numPr>
          <w:ilvl w:val="1"/>
          <w:numId w:val="11"/>
        </w:numPr>
        <w:contextualSpacing/>
        <w:rPr>
          <w:szCs w:val="24"/>
        </w:rPr>
      </w:pPr>
      <w:bookmarkStart w:id="26" w:name="_Toc505767160"/>
      <w:r>
        <w:rPr>
          <w:szCs w:val="24"/>
        </w:rPr>
        <w:t>Verkehr</w:t>
      </w:r>
      <w:bookmarkEnd w:id="26"/>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Mobilität ist eine zentrale Grundlage für individuelle Freiheit und gesellschaftlichen Wohlstand, für wirtschaftliches Wachstum und für Arbeitsplätze in allen Regionen. Wir wollen deshalb für alle Menschen in Deutschland eine moderne, saubere, barrierefreie und bezahlbare Mobilität organisieren und dabei die gesellschaftlichen Herausforderungen, wie den demografischen Wandel, die Urbanisierung, Anbindung ländlicher Räume und Globalisierung, meistern. Um den Zusammenhalt in Europa zu stärken, werden wir die grenzüberschreitende Mobilität verbessern. Wir wollen unsere Infrastruktur weiter ausbauen und modernisieren und die großen Chancen von digitalen Innovationen, wie automatisiertes und vernetztes Fahren, und von alternativen Antrieben auf allen Verkehrsträgern nutzen.</w:t>
      </w:r>
    </w:p>
    <w:p w:rsidR="007F452D" w:rsidRDefault="007F452D">
      <w:pPr>
        <w:spacing w:after="0" w:line="240" w:lineRule="auto"/>
        <w:contextualSpacing/>
        <w:rPr>
          <w:rFonts w:ascii="Arial" w:hAnsi="Arial" w:cs="Arial"/>
          <w:b/>
          <w:sz w:val="24"/>
          <w:szCs w:val="24"/>
        </w:rPr>
      </w:pPr>
    </w:p>
    <w:p w:rsidR="007F452D" w:rsidRDefault="006007DF">
      <w:pPr>
        <w:pStyle w:val="berschrift3"/>
        <w:contextualSpacing/>
        <w:rPr>
          <w:rFonts w:cs="Arial"/>
          <w:szCs w:val="24"/>
        </w:rPr>
      </w:pPr>
      <w:r>
        <w:rPr>
          <w:rFonts w:cs="Arial"/>
          <w:szCs w:val="24"/>
        </w:rPr>
        <w:t>Finanzierung/Verkehrsinvestition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den Investitionshochlauf auf einem Rekordniveau für die Verkehrsinvestitionen mindestens auf dem heutigen Niveau fortführen. Für die Planungs- und Finanzierungssicherheit wird die Überjährigkeit der zur Verfügung gestellten Haushaltsmittel dauerhaft sichergestellt. Zugleich werden wir Finanzierungsinstrumente implementieren, mit denen jährlichen Haushaltsresten entgegengesteuert wird. Wir setzen weiterhin unseren Schwerpunkt auf den Erhalt vor dem Neu- und Ausbau.</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prioritären Projekte des Bundesverkehrswegeplans 2030 wollen wir auskömmlich finanzieren. Bis zum 3. Quartal 2018 werden wir die Schienenprojekte des potenziellen Bedarfs unter Berücksichtigung der Berechnungen des Verkehrsressorts bewerten. Im neuen Verkehrsinfrastrukturzustandsbericht werden wir transparent die prioritären Erhaltungsmaßnahmen nach Bundesländern aufführen.</w:t>
      </w:r>
    </w:p>
    <w:p w:rsidR="007F452D" w:rsidRDefault="007F452D">
      <w:pPr>
        <w:spacing w:after="0" w:line="240" w:lineRule="auto"/>
        <w:contextualSpacing/>
        <w:jc w:val="both"/>
        <w:rPr>
          <w:rStyle w:val="xxt"/>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noch nicht fertiggestellten Öffentlich-Privaten Partnerschaften der 1.</w:t>
      </w:r>
      <w:r>
        <w:rPr>
          <w:rFonts w:ascii="Arial" w:hAnsi="Arial" w:cs="Arial"/>
          <w:sz w:val="24"/>
          <w:szCs w:val="24"/>
        </w:rPr>
        <w:noBreakHyphen/>
        <w:t xml:space="preserve">3. Staffel realisieren, wenn deren Wirtschaftlichkeit </w:t>
      </w:r>
      <w:r>
        <w:rPr>
          <w:rStyle w:val="xxt"/>
          <w:rFonts w:ascii="Arial" w:hAnsi="Arial" w:cs="Arial"/>
          <w:sz w:val="24"/>
          <w:szCs w:val="24"/>
        </w:rPr>
        <w:t>auf Basis der mit dem Bundesrechnungshof abgestimmten Regularien</w:t>
      </w:r>
      <w:r>
        <w:rPr>
          <w:rFonts w:ascii="Arial" w:hAnsi="Arial" w:cs="Arial"/>
          <w:sz w:val="24"/>
          <w:szCs w:val="24"/>
        </w:rPr>
        <w:t xml:space="preserve"> transparent nachgewiesen worden ist. Die Wirtschaftlichkeitsuntersuchung und die Konzessionsverträge werden wir nach Vergabe bei Zustimmung des Konzessionsnehmers im Internet veröffentlichen.</w:t>
      </w:r>
    </w:p>
    <w:p w:rsidR="007F452D" w:rsidRDefault="007F452D">
      <w:pPr>
        <w:spacing w:after="0" w:line="240" w:lineRule="auto"/>
        <w:contextualSpacing/>
        <w:jc w:val="both"/>
        <w:rPr>
          <w:rStyle w:val="xxt"/>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Den Aufbau der Infrastrukturgesellschaft Verkehr werden wir unter Einbindung der Gewerkschaften und Personalräte bei den Organisationsentscheidungen eng begleiten. Die Möglichkeit, die Planfeststellung weiterhin durch die Länder durchführen zu können, ist rechtssicher auszugestalten. </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Style w:val="xxt"/>
          <w:rFonts w:ascii="Arial" w:hAnsi="Arial" w:cs="Arial"/>
          <w:sz w:val="24"/>
          <w:szCs w:val="24"/>
        </w:rPr>
        <w:t>Die Vereinbarungen zwischen Bund und Ländern zu einer verbesserten Ausgabenpauschale für die Bundesfernstraßen wollen wir umsetzen.</w:t>
      </w:r>
      <w:r>
        <w:rPr>
          <w:rFonts w:ascii="Arial" w:hAnsi="Arial" w:cs="Arial"/>
          <w:sz w:val="24"/>
          <w:szCs w:val="24"/>
        </w:rPr>
        <w:t xml:space="preserve"> </w:t>
      </w:r>
    </w:p>
    <w:p w:rsidR="007F452D" w:rsidRDefault="007F452D">
      <w:pPr>
        <w:suppressAutoHyphens/>
        <w:spacing w:after="0" w:line="240" w:lineRule="auto"/>
        <w:contextualSpacing/>
        <w:jc w:val="both"/>
        <w:rPr>
          <w:rFonts w:ascii="Arial" w:hAnsi="Arial" w:cs="Arial"/>
          <w:sz w:val="24"/>
          <w:szCs w:val="24"/>
          <w:highlight w:val="yellow"/>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Eine Privatisierung der Straßeninfrastruktur und der Infrastrukturgesellschaft Verkehr bleibt ausgeschlossen. </w:t>
      </w:r>
    </w:p>
    <w:p w:rsidR="007F452D" w:rsidRDefault="007F452D">
      <w:pPr>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halten an der zügigen Ausdehnung der Lkw-Maut für Fahrzeuge ab 7,5 Tonnen auf alle Bundestraßen fest und werden auf Grundlage des neuen Wegekostengutachtens eine durchschnittliche Mauthöhe für Lkw auf allen Bundesfernstraßen festlegen.</w:t>
      </w:r>
    </w:p>
    <w:p w:rsidR="007F452D" w:rsidRDefault="007F452D">
      <w:pPr>
        <w:suppressAutoHyphen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 xml:space="preserve">Wir werden die Mittel für das Gemeindeverkehrsfinanzierungsgesetz (GVFG) bis 2021 auf jährlich eine Milliarde Euro erhöhen und danach jährlich dynamisiert für Aus- und Neubaumaßnahmen zur Verfügung stellen. </w:t>
      </w:r>
    </w:p>
    <w:p w:rsidR="007F452D" w:rsidRDefault="007F452D">
      <w:pPr>
        <w:spacing w:after="0" w:line="240" w:lineRule="auto"/>
        <w:contextualSpacing/>
        <w:jc w:val="both"/>
        <w:rPr>
          <w:rStyle w:val="xxt"/>
          <w:rFonts w:ascii="Arial" w:hAnsi="Arial" w:cs="Arial"/>
          <w:sz w:val="24"/>
          <w:szCs w:val="24"/>
        </w:rPr>
      </w:pPr>
    </w:p>
    <w:p w:rsidR="007F452D" w:rsidRDefault="006007DF">
      <w:pPr>
        <w:pStyle w:val="berschrift3"/>
        <w:contextualSpacing/>
        <w:rPr>
          <w:rStyle w:val="xxt"/>
          <w:rFonts w:cs="Arial"/>
          <w:szCs w:val="24"/>
        </w:rPr>
      </w:pPr>
      <w:r>
        <w:rPr>
          <w:rStyle w:val="xxt"/>
          <w:rFonts w:cs="Arial"/>
          <w:szCs w:val="24"/>
        </w:rPr>
        <w:t>Planungsbeschleunigung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ein Planungs- und Baubeschleunigungsgesetz verabschieden. Damit wollen wir deutliche Verbesserungen und noch mehr Dynamik in den Bereichen Verkehr, Infrastruktur, Energie und Wohnen erreichen. Durch frühzeitige Bürgerbeteiligung, weniger Bürokratie und gezielten Personaleinsatz wollen wir unsere öffentlichen Verkehrswege schneller planen und bauen. Mit Änderung der rechtlichen Vorgaben wollen wir Erleichterungen für Infrastrukturprojekte erreichen. Dabei orientieren wir uns an den Verkehrsprojekten Deutsche Einheit sowie an den zwölf Punkten der Strategie Planungsbeschleunigung des Verkehrsressorts. Für ausgewählte Projekte mit </w:t>
      </w:r>
      <w:r>
        <w:rPr>
          <w:rStyle w:val="xxt"/>
          <w:rFonts w:ascii="Arial" w:hAnsi="Arial" w:cs="Arial"/>
          <w:sz w:val="24"/>
          <w:szCs w:val="24"/>
        </w:rPr>
        <w:t>überragendem öffentlichem Interesse</w:t>
      </w:r>
      <w:r>
        <w:rPr>
          <w:rFonts w:ascii="Arial" w:hAnsi="Arial" w:cs="Arial"/>
          <w:sz w:val="24"/>
          <w:szCs w:val="24"/>
        </w:rPr>
        <w:t xml:space="preserve"> werden wir die Planungs- und Genehmigungsverfahren verkürzen und die Verwaltungsgerichtsverfahren auf eine Instanz beschränken.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Zudem wollen wir auf Grundlage europäischen Rechts das Verbandsklagerecht in seiner Reichweite überprüfen und uns auf EU-Ebene für die Wiedereinführung der Präklusion einsetzen.</w:t>
      </w:r>
    </w:p>
    <w:p w:rsidR="007F452D" w:rsidRDefault="007F452D">
      <w:pPr>
        <w:spacing w:after="0" w:line="240" w:lineRule="auto"/>
        <w:contextualSpacing/>
        <w:jc w:val="both"/>
        <w:rPr>
          <w:rStyle w:val="xxt"/>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Für fünf Pilotprojekte wollen wir Baurecht durch Maßnahmengesetze erproben. Das Instrument der Plangenehmigung wollen wir stärken, insbesondere bei Ersatzneubauten und Lärmschutzmaßnahmen. Gemeinsam mit der Wirtschaft werden wir die Gewinnung von Fachpersonal gezielt angehen.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Style w:val="xxt"/>
          <w:rFonts w:ascii="Arial" w:hAnsi="Arial" w:cs="Arial"/>
          <w:sz w:val="24"/>
          <w:szCs w:val="24"/>
        </w:rPr>
      </w:pPr>
      <w:r>
        <w:rPr>
          <w:rFonts w:ascii="Arial" w:hAnsi="Arial" w:cs="Arial"/>
          <w:sz w:val="24"/>
          <w:szCs w:val="24"/>
        </w:rPr>
        <w:t>Die digitale Planungsmethode „Building Information Modeling“ (BIM) reduziert Kosten und minimiert die Risiken von Kosten- und Terminüberschreitungen. Deshalb werden wir die BIM baldmöglichst bei allen neu zu planenden Verkehrsinfrastrukturprojekten zur Anwendung bringen.</w:t>
      </w:r>
    </w:p>
    <w:p w:rsidR="007F452D" w:rsidRDefault="007F452D">
      <w:pPr>
        <w:suppressAutoHyphens/>
        <w:spacing w:after="0" w:line="240" w:lineRule="auto"/>
        <w:contextualSpacing/>
        <w:rPr>
          <w:rStyle w:val="xxt"/>
          <w:rFonts w:ascii="Arial" w:hAnsi="Arial" w:cs="Arial"/>
          <w:b/>
          <w:sz w:val="24"/>
          <w:szCs w:val="24"/>
        </w:rPr>
      </w:pPr>
    </w:p>
    <w:p w:rsidR="007F452D" w:rsidRDefault="006007DF">
      <w:pPr>
        <w:pStyle w:val="berschrift3"/>
        <w:contextualSpacing/>
        <w:rPr>
          <w:rStyle w:val="xxt"/>
          <w:rFonts w:cs="Arial"/>
          <w:szCs w:val="24"/>
        </w:rPr>
      </w:pPr>
      <w:r>
        <w:rPr>
          <w:rStyle w:val="xxt"/>
          <w:rFonts w:cs="Arial"/>
          <w:szCs w:val="24"/>
        </w:rPr>
        <w:t xml:space="preserve">Mobilität und Umwelt </w:t>
      </w: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Wir werden eine Kommission unter Einbeziehung der unterschiedlichen Akteure aus Politik, Wirtschaft, Umweltverbänden, Gewerkschaften sowie betroffenen Ländern und Regionen einsetzen, die bis Anfang 2019 eine Strategie „Zukunft der bezahlbaren und nachhaltigen Mobilität“ mit verlässlicher Zeitschiene erarbeitet. Die Mobilität – und damit die Automobilwirtschaft – stehen aktuell vor enormen Herausforderungen. Klimaschutz, Luftreinhaltung, neue Mobilitäts- und Geschäftsmodelle und sich stark divergent entwickelnde Weltmärkte sind hierbei bedeutende Aspekte. Die Mobilitätspolitik ist dem Pariser Klimaschutzabkommen und dem Klimaschutzplan 2050 der Bundesregierung verpflichtet. Wir wollen die Klimaziele von Paris erreichen und dabei soziale Belange berücksichtigen, die Wettbewerbsfähigkeit der Industrie gewährleisten und bezahlbare Mobilität sicherstellen. Dafür bedarf es eines ganzen Bündels von Maßnahmen, wie z. B. der Förderung von Elektromobilität, des Öffentlichen Personennahverkehrs (ÖPNV) und des Schienenverkehrs, effizienteren und sauberen Verbrennungsmotoren inklusive Nachrüstungen sowie der Verstetigung der Mittel im Rahmen des Nationalen Forums Diesel. </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Wir wollen gemeinsam mit Ländern und Kommunen unsere Anstrengungen für eine Verbesserung der Luftqualität insbesondere in besonders belasteten Innenstädten </w:t>
      </w:r>
      <w:r>
        <w:rPr>
          <w:rFonts w:ascii="Arial" w:hAnsi="Arial" w:cs="Arial"/>
          <w:sz w:val="24"/>
          <w:szCs w:val="24"/>
        </w:rPr>
        <w:lastRenderedPageBreak/>
        <w:t xml:space="preserve">erheblich verstärken. Wir wollen Fahrverbote vermeiden und die Luftreinhaltung verbessern. Die Kommunen wollen wir unterstützen, die Emissionsgrenzwerte im Rahmen ihrer Luftreinhaltepläne mit anderen Maßnahmen als mit pauschalen Fahrverboten einzuhalten. </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insbesondere die Schadstoffemissionen aus dem Straßenverkehr an der Quelle weiter reduzieren. Dazu gehören – soweit technisch möglich und wirtschaftlich vertretbar – technische Verbesserungen von Fahrzeugen im Bestand. Wir werden im Jahr 2018 auf Basis der Ergebnisse der laufenden Untersuchungen zu Hardware-Nachrüstungsvarianten in der Arbeitsgruppe „Technische Nachrüstung“ und den weiteren Entscheidungen des „Diesel-Gipfels“ sowie aller rechtlicher Fragen der Zulassung, Gewährleistung und Kostentragung sowie in Kenntnis von Gerichtsentscheidungen und den Entscheidungen auf europäischer Ebene über weitere Schritte zur NOx-Reduzierung, auch der technischen Nachrüstungen, entscheiden. Wir setzen uns dabei für ein gemeinsames und koordiniertes Vorgehen von Bund, Ländern, Kommunen, Unternehmen und Gewerkschaften ein.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In den besonders betroffenen Städten wollen wir aus dem Fonds „Nachhaltige Mobilität für die Stadt“ Mobilitätspläne zur Schadstoffreduktion sowie die darin verankerten Maßnahmen fördern. Das Sofortprogramm „Saubere Luft 2017-2020“ wollen wir fortschreiben. Bundes- und Landesprogramme sollen kumuliert werden können.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den Umstieg der Fahrzeugparks von Behörden, Taxiunternehmen, Handwerksbetrieben sowie des ÖPNV auf emissionsarme bzw. -freie Antriebstechnologien durch Aufwertung der Förderprogramme vorantreiben. Außerdem wollen wir die Verlagerung der Pendlerverkehre auf die Schiene (u. a. Park+Ride) fördern. Zudem wollen wir den Ordnungsrahmen so ändern,</w:t>
      </w:r>
      <w:r>
        <w:rPr>
          <w:rFonts w:ascii="Arial" w:hAnsi="Arial" w:cs="Arial"/>
          <w:b/>
          <w:sz w:val="24"/>
          <w:szCs w:val="24"/>
        </w:rPr>
        <w:t xml:space="preserve"> </w:t>
      </w:r>
      <w:r>
        <w:rPr>
          <w:rFonts w:ascii="Arial" w:hAnsi="Arial" w:cs="Arial"/>
          <w:sz w:val="24"/>
          <w:szCs w:val="24"/>
        </w:rPr>
        <w:t>dass Länder, Städte und Kommunen in der Lage sind, verbindliche Vorgaben und Emissionsgrenzwerte für den gewerblichen Personenverkehr wie Busse, Taxen, Mietwagen und Carsharing-Fahrzeuge sowie für Kurier-, Express-, Paket-Fahrzeuge zu erlassen. Gleichzeitig wollen wir bei Taxen und leichten Nutzfahrzeugen den Umstieg auf emissionsarme Antriebe technologieoffen im bestehenden Finanzrahmen durch eine Erhöhung der bestehenden Kaufprämie bei Elektrofahrzeugen fördern und für weitere Technologien andere Förderinstrumente entwickeln.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Für die Überwachung der bereits im Markt befindlichen Fahrzeuge werden wir eine flächendeckende Feldüberwachung sowie ein wirksames Sanktionssystem bei Nichteinhaltung von Emissionsvorschriften gegenüber den Herstellern etablieren. </w:t>
      </w:r>
      <w:r>
        <w:rPr>
          <w:rStyle w:val="xxt"/>
          <w:rFonts w:ascii="Arial" w:hAnsi="Arial" w:cs="Arial"/>
          <w:sz w:val="24"/>
          <w:szCs w:val="24"/>
        </w:rPr>
        <w:t>Wir werden die Gründung des Deutschen Instituts für Verbrauchs- und Emissionsmessungen (DIVEM) vorantreiben.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das Nationale Innovationsprogramm Wasserstoff- und Brennstoffzellentechnologie fortführen. Wir wollen die Mobilitäts- und Kraftstoffstrategie (MKS) technologieoffen weiterentwickeln und die Mittel zu deren Umsetzung erhöhen. Wir wollen die Sektorenkopplung voranbringen und den regulativen Rahmen ändern, so dass „grüner Wasserstoff“ und Wasserstoff als Produkt aus industriellen Prozessen als Kraftstoff oder für die Herstellung konventioneller Kraftstoffe (z. B. Erdgas) genutzt werden kann. Wir wollen die THG-</w:t>
      </w:r>
      <w:r>
        <w:rPr>
          <w:rFonts w:ascii="Arial" w:hAnsi="Arial" w:cs="Arial"/>
          <w:sz w:val="24"/>
          <w:szCs w:val="24"/>
        </w:rPr>
        <w:lastRenderedPageBreak/>
        <w:t xml:space="preserve">Quote weiterentwickeln, um die Produktion von Biokraftstoffen abfall- und reststoffbasiert sowie auf Pflanzenbasis zu unterstützen. </w:t>
      </w:r>
    </w:p>
    <w:p w:rsidR="007F452D" w:rsidRDefault="007F452D">
      <w:pPr>
        <w:suppressAutoHyphens/>
        <w:spacing w:after="0" w:line="240" w:lineRule="auto"/>
        <w:contextualSpacing/>
        <w:jc w:val="both"/>
        <w:rPr>
          <w:rStyle w:val="xxt"/>
          <w:rFonts w:ascii="Arial" w:hAnsi="Arial" w:cs="Arial"/>
          <w:sz w:val="24"/>
          <w:szCs w:val="24"/>
        </w:rPr>
      </w:pPr>
    </w:p>
    <w:p w:rsidR="007F452D" w:rsidRDefault="006007DF">
      <w:pPr>
        <w:spacing w:after="0" w:line="240" w:lineRule="auto"/>
        <w:contextualSpacing/>
        <w:jc w:val="both"/>
        <w:rPr>
          <w:rStyle w:val="xxt"/>
          <w:rFonts w:ascii="Arial" w:hAnsi="Arial" w:cs="Arial"/>
          <w:sz w:val="24"/>
          <w:szCs w:val="24"/>
        </w:rPr>
      </w:pPr>
      <w:r>
        <w:rPr>
          <w:rStyle w:val="xxt"/>
          <w:rFonts w:ascii="Arial" w:hAnsi="Arial" w:cs="Arial"/>
          <w:sz w:val="24"/>
          <w:szCs w:val="24"/>
        </w:rPr>
        <w:t>Bei der pauschalen Dienstwagenbesteuerung werden wir für E-Fahrzeuge (Elektro- und Hybridfahrzeuge) einen reduzierten Satz von 0,5 Prozent des inländischen Listenpreises einführen.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Elektromobilität (batterieelektrisch, Wasserstoff und Brennstoffzelle) in Deutschland deutlich voranbringen und die bestehende Förderkulisse, wo erforderlich, über das Jahr 2020 hinaus aufstocken und ergänzen. Wir wollen den Aufbau einer flächendeckenden Lade- und Tankinfrastruktur intensivieren. Ziel ist, bis 2020 mindestens 100 000 Ladepunkte für Elektrofahrzeuge zusätzlich verfügbar zu machen – wovon mindestens ein Drittel Schnellladesäulen (DC) sein sollen. Zudem wollen wir die Errichtung von privaten Ladesäulen fördern. Für eine nachhaltige Umstellung der Busflotten auf alternative Antriebe sind neben den Fahrzeugen auch eine geeignete Ladeinfrastruktur sowie Betriebsmanagementsysteme erforderlich. Den Einbau von Ladestellen für Elektrofahrzeuge von Mieterinnen und Mietern sowie Wohnungseigentümerinnen und Wohnungseigentümern werden wir rechtlich erleichtern. Außerdem werden wir die gesetzlichen Bedingungen für benutzerfreundliche Bezahlsysteme verbessern.</w:t>
      </w:r>
    </w:p>
    <w:p w:rsidR="007F452D" w:rsidRDefault="007F452D">
      <w:pPr>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Für gewerblich genutzte Elektrofahrzeuge führen wir eine auf fünf Jahre befristete Sonder-AfA (Abschreibung für Abnutzung) von 50 Prozent im Jahr der Anschaffung ein. Wir wollen zudem die Förderung für die Umrüstung und Anschaffung von E-Taxen, E-Bussen, E-Nutzfahrzeugen und Carsharing verstetigen. </w:t>
      </w:r>
    </w:p>
    <w:p w:rsidR="007F452D" w:rsidRDefault="007F452D">
      <w:pPr>
        <w:suppressAutoHyphens/>
        <w:spacing w:after="0" w:line="240" w:lineRule="auto"/>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 xml:space="preserve">Wir wollen die bestehende „Nationale Plattform Elektromobilität“ zu einer Plattform „Zukunft der Mobilität“ umgestalten, die sich mit der Weiterentwicklung der Automobilindustrie beschäftigt. Die Ansiedlung einer Batteriezellfertigung ist für Deutschland und Europa ein wichtiges wirtschafts- und industriepolitisches Handlungsfeld. Wir wollen die Industrie dabei unterstützen, die gesamte Wertschöpfungskette der Elek-tromobilität in Deutschland und Europa vorzuhalten. </w:t>
      </w:r>
    </w:p>
    <w:p w:rsidR="007F452D" w:rsidRDefault="007F452D">
      <w:pPr>
        <w:pStyle w:val="NurText"/>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Für den Schienenverkehr wollen wir ein umfassendes Förderprogramm auflegen, das sowohl die Elektrifizierung von Strecken als auch die Anschaffung von Fahrzeugen nebst Nachlade-/Tankinfrastruktur umfasst. Den Schienenpersonennahverkehr wollen wir mit Investitionszuschüssen für Brennstoffzellen-Hybrid-Triebwagen inkl. Ausstattung/Umrüstung der Depots und Bau und Betrieb von Wasserstofftankstellen unterstützen. Um die Wirtschaftlichkeit von Elektrobussen zu erhöhen, wollen wir sie analog der Schienenbahnen von der EEG-Umlage freistellen.</w:t>
      </w:r>
    </w:p>
    <w:p w:rsidR="007F452D" w:rsidRDefault="007F452D">
      <w:pPr>
        <w:suppressAutoHyphens/>
        <w:spacing w:after="0" w:line="240" w:lineRule="auto"/>
        <w:contextualSpacing/>
        <w:jc w:val="both"/>
        <w:rPr>
          <w:rFonts w:ascii="Arial" w:hAnsi="Arial" w:cs="Arial"/>
          <w:sz w:val="24"/>
          <w:szCs w:val="24"/>
        </w:rPr>
      </w:pPr>
    </w:p>
    <w:p w:rsidR="007F452D" w:rsidRDefault="006007DF">
      <w:pPr>
        <w:pStyle w:val="berschrift3"/>
        <w:contextualSpacing/>
        <w:rPr>
          <w:rStyle w:val="xxt"/>
          <w:rFonts w:cs="Arial"/>
          <w:szCs w:val="24"/>
        </w:rPr>
      </w:pPr>
      <w:r>
        <w:rPr>
          <w:rStyle w:val="xxt"/>
          <w:rFonts w:cs="Arial"/>
          <w:szCs w:val="24"/>
        </w:rPr>
        <w:t xml:space="preserve">Schienenverkehr </w:t>
      </w: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Pünktlichkeit, guter Service und hohe Qualität müssen das Markenzeichen der Eisenbahnen in Deutschland sein. Mit einem Schienenpakt von Politik und Wirtschaft wollen wir bis 2030 doppelt so viele Bahnkundinnen und Bahnkunden gewinnen und dabei u. a. mehr Güterverkehr auf die umweltfreundliche Schiene verlagern. Wir wollen die Maßnahmen des Masterplans Schienengüterverkehr dauerhaft umsetzen. Die Eisenbahnen müssen im Gegenzug in mehr Service, mehr Zuverlässigkeit und mehr Innovationen investieren. </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lastRenderedPageBreak/>
        <w:t>Die priorisierten Maßnahmen zur Schaffung eines deutschlandweiten 740-Meter-Netzes für Güterzüge werden wir bis 2020 realisieren.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Wir wollen die Digitalisierung der Schiene, auch auf hochbelasteten S-Bahnstrecken, vorantreiben und den Ausbau der europäischen Leit- und Sicherungstechnik ETCS, elektronischer Stellwerke und Umrüstung der Lokomotiven durch den Bund unterstützen. Die Automatisierung des Güterverkehrs und das autonome Fahren auf der Schiene wollen wir durch Forschung und Förderung unterstützen. </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Bis 2025 wollen wir 70 Prozent des Schienennetzes in Deutschland elektrifizieren. Mit einer neuen Förderinitiative wollen wir regionale Schienenstrecken elektrifizieren. Wir wollen zudem mehr hindernisfreie Mobilität ermöglichen. Ein Schlüsselprojekt dabei ist das Programm zur Förderung von Barrierefreiheit auf Bahnhöfen.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Bundesmittel für den Betrieb von Schienennebenstrecken zur Verfügung stellen sowie ein Programm zur Förderung der Mobilität im ländlichen Raum auflegen. Wir wollen Bahnhöfe und -haltestellen in den Regionen halten.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ein Instrumentarium entwickeln, mit dem Aufgabenträger übergreifende Schienenverkehrsprojekte von besonderer Bedeutung beschleunigt realisieren können (z. B. Schienenverkehrsknoten in Mischnutzung aus S-Bahn, Schienennah- und Fernverkehr sowie strategische grenzüberschreitende Schienenverbindungen).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die Förderung für NE-Bahnen für den Ausbau öffnen. Das Eisenbahnkreuzungsgesetz wollen wir ändern, um den kommunalen Anteil der Finanzierung an TEN-Strecken zu reduzieren.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Für ein „Tausend-Bahnhöfe“-Förderprogramm zur Attraktivitätssteigerung gerade kleinerer Bahnhöfe, das Bahnanlagen und das Bahnhofsumfeld einbezieht, wollen wir die Länder, Kommunen und die Deutsche Bahn als Partner gewinnen. Damit wollen wir u. a. die Sanierung von Bahnhofsgebäuden fördern.</w:t>
      </w:r>
    </w:p>
    <w:p w:rsidR="007F452D" w:rsidRDefault="007F452D">
      <w:pPr>
        <w:suppressAutoHyphens/>
        <w:spacing w:after="0" w:line="240" w:lineRule="auto"/>
        <w:contextualSpacing/>
        <w:jc w:val="both"/>
        <w:rPr>
          <w:rFonts w:ascii="Arial" w:hAnsi="Arial" w:cs="Arial"/>
          <w:strike/>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Für uns steht als Eigentümer der Deutschen Bahn AG nicht die Maximierung des Gewinns, sondern eine sinnvolle Maximierung des Verkehrs auf der Schiene im Vordergrund.</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halten am integrierten Konzern Deutsche Bahn AG fest. Eine Privatisierung der Bahn lehnen wir ab. Das Schienennetz und die Stationen sind Teil der öffentlichen Daseinsvorsorge. Entscheidungen, an welcher Stelle des Netzes in den Erhalt und Ausbau der Schieneninfrastruktur investiert wird, müssen durch den Bund frei von Gewinninteressen privater Dritter gefällt werden.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Wir werden in den Satzungen der DB Netz AG, der DB Station&amp;Service AG sowie des Gesamtkonzerns volkswirtschaftliche Ziele wie die Steigerung des Marktanteils der Schiene festschreiben und die Vorstände der Unternehmen auf die Erfüllung der Ziele verpflichten. </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Die für den Schienenverkehr zuständige Fachabteilung und deren nachgeordnete Behörden im für Verkehr zuständigen Ressort wollen wir strukturell und personell stärken und eine/n hochrangige/n Beauftragte/n der Bundesregierung für den Schienenverkehr einsetzen. </w:t>
      </w: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lastRenderedPageBreak/>
        <w:t xml:space="preserve">Zur Kostenentlastung und Erhöhung der Wettbewerbsfähigkeit des Schienenverkehrs wollen wir die Senkung der Trassenpreise konsequent weiterverfolgen. Wir werden das Eisenbahnregulierungsrecht evaluieren. </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mit der DB AG eine neue Leistungs- und Finanzierungsvereinbarung abschließen (LuFV III). Wesentliches Qualitätskriterium ist dabei die Netzverfügbarkeit. Zudem wollen wir Anreize für ein nutzerfreundliches Baustellenmanagement im Schienennetz schaffen.</w:t>
      </w:r>
    </w:p>
    <w:p w:rsidR="007F452D" w:rsidRDefault="007F452D">
      <w:pPr>
        <w:suppressAutoHyphens/>
        <w:spacing w:after="0" w:line="240" w:lineRule="auto"/>
        <w:contextualSpacing/>
        <w:jc w:val="both"/>
        <w:rPr>
          <w:rFonts w:ascii="Arial" w:hAnsi="Arial" w:cs="Arial"/>
          <w:b/>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Wir werden prüfen, wie Einzelwagenverkehre wirtschaftlich betrieben werden können. </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werden die Umsetzung des Deutschlandtakts vorantreiben. Die dafür vorgesehenen Aus- und Neubaumaßnahmen wollen wir bevorzugt realisieren. Unser Ziel ist, vertakteten Fernverkehr auf der Schiene deutlich zu stärken, das beinhaltet auch eine Ausweitung des Angebots auf größere Städte und Regionen, so dass mehr Menschen von Direktverbindungen im Fernverkehr profitieren. Den optimierten Zielfahrplan bestimmt die Politik. In diesem Fahrplan sind auch die notwendigen leistungsfähigen Güterverkehrstrassen enthalten. Unter Federführung des Bundesverkehrsministeriums müssen die Infrastrukturunternehmen, die Eisenbahnverkehrsunternehmen des Fernverkehrs, die Bundesländer mit den Aufgabenträgern des SPNV sowie die Öffentlichkeit inklusive der Fahrgast- und Verbraucherverbände an diesem Prozess beteiligt werden. Der weitere Ausbau der Infrastruktur muss sich am gewünschten Fahrplan ausrichten.</w:t>
      </w:r>
    </w:p>
    <w:p w:rsidR="007F452D" w:rsidRDefault="007F452D">
      <w:pPr>
        <w:suppressAutoHyphens/>
        <w:spacing w:after="0" w:line="240" w:lineRule="auto"/>
        <w:contextualSpacing/>
        <w:jc w:val="both"/>
        <w:rPr>
          <w:rFonts w:ascii="Arial" w:hAnsi="Arial" w:cs="Arial"/>
          <w:b/>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Wir werden die gesetzlichen Regelungen zum Vergaberecht so anpassen, dass die Landkreise und Kommunen die Weiterbeschäftigung der bisherigen Beschäftigten beim Leistungsübergang im ÖPNV auf andere Betreiber zu den bestehenden Arbeits- und Sozialbedingungen vorschreiben können. </w:t>
      </w:r>
    </w:p>
    <w:p w:rsidR="007F452D" w:rsidRDefault="007F452D">
      <w:pPr>
        <w:suppressAutoHyphens/>
        <w:spacing w:after="0" w:line="240" w:lineRule="auto"/>
        <w:contextualSpacing/>
        <w:jc w:val="both"/>
        <w:rPr>
          <w:rFonts w:ascii="Arial" w:hAnsi="Arial" w:cs="Arial"/>
          <w:b/>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Wir werden uns im Mobilitätsbereich an der UN-Behindertenrechtskonvention orientieren. Der Bund begleitet den Prozess zum barrierefreien ÖPNV bis 2022. </w:t>
      </w:r>
    </w:p>
    <w:p w:rsidR="007F452D" w:rsidRDefault="007F452D">
      <w:pPr>
        <w:suppressAutoHyphens/>
        <w:spacing w:after="0" w:line="240" w:lineRule="auto"/>
        <w:contextualSpacing/>
        <w:rPr>
          <w:rFonts w:ascii="Arial" w:hAnsi="Arial" w:cs="Arial"/>
          <w:b/>
          <w:sz w:val="24"/>
          <w:szCs w:val="24"/>
        </w:rPr>
      </w:pPr>
    </w:p>
    <w:p w:rsidR="007F452D" w:rsidRDefault="006007DF">
      <w:pPr>
        <w:pStyle w:val="berschrift3"/>
        <w:contextualSpacing/>
        <w:rPr>
          <w:rFonts w:cs="Arial"/>
          <w:szCs w:val="24"/>
        </w:rPr>
      </w:pPr>
      <w:r>
        <w:rPr>
          <w:rFonts w:cs="Arial"/>
          <w:szCs w:val="24"/>
        </w:rPr>
        <w:t>Mehr Verkehrssicherheit und Mobilität 4.0</w:t>
      </w: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sehen uns der „Vision Zero“, also der mittelfristigen Senkung der Anzahl der Verkehrstoten auf null, verpflichtet. Deshalb wollen wir nach Auslaufen des „Verkehrssicherheitsprogramms 2011“ ein Anschlussprogramm auflegen. Die Umsetzung von verkehrssicherheitserhöhenden Projekten, wie z. B. „Schutzstreifen für Radfahrer außerorts“, wollen wir unterstützen. Die Kontrollbehörden des Bundes wollen wir personell besser ausstatten, um die Kontrolldichte zu erhöhen. Wir werden zur Steigerung der Verkehrssicherheit den rechtssicheren Einsatz moderner technischer Hilfsmittel wie z. B. Alcolocks ermöglichen. Nach der Einführung des neuen Punktesystems ist eine Evaluierung des Bußgeldkatalogs notwendig.</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Wir werden die großen Chancen von digitalen Innovationen wie automatisiertes und vernetztes Fahren nutzen. Die Digitalisierung des Verkehrssystems erfordert neben großen Investitionen in die Verkehrstechnik auch den Ausbau der Informations- und Kommunikationstechnik. Wir werden dafür Sorge tragen, dass die Breitbandversorgung aller Verkehrsträger in den kommenden Jahren sichergestellt und dass schnelles mobiles Internet (5G) durch die Telekommunikations-Unternehmen ausgebaut wird. Bei der Versteigerung der Frequenzen werden wir </w:t>
      </w:r>
      <w:r>
        <w:rPr>
          <w:rFonts w:ascii="Arial" w:hAnsi="Arial" w:cs="Arial"/>
          <w:sz w:val="24"/>
          <w:szCs w:val="24"/>
        </w:rPr>
        <w:lastRenderedPageBreak/>
        <w:t xml:space="preserve">entsprechende Vorgaben zur Versorgung und flächendeckenden Abdeckung vorlegen. </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Damit autonome Fahrzeuge im öffentlichen Raum rechtssicher getestet und eingesetzt werden können, werden wir Experimentierklauseln bzw. Ausnahmeregelungen schaffen. Bis zum Ende der Legislaturperiode werden wir die rechtlichen Voraussetzungen für vollautonome Fahrzeuge (Stufe 5) auf geeigneten Infrastrukturen schaffen. Wir wollen die Haftungsregelungen beim Einsatz autonomer Systeme (z. B. selbstfahrende Kfz, Roboter) mit dem Ziel auf den Prüfstand stellen, um gegebenenfalls drohende Haftungslücken zu schließen.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Den Ausbau der Straßenverkehrstelematik wollen wir weiterführen und intelligente Parkleitsysteme aufbauen. Hierfür werden wir ein „digitales Straßengesetz" erarbeiten.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Wir wollen den erfolgreichen Aufbau der „Digitalen Testfelder Autobahnen“ weiterführen und </w:t>
      </w:r>
      <w:r w:rsidR="009863D9">
        <w:rPr>
          <w:rFonts w:ascii="Arial" w:hAnsi="Arial" w:cs="Arial"/>
          <w:sz w:val="24"/>
          <w:szCs w:val="24"/>
        </w:rPr>
        <w:t xml:space="preserve">digitale </w:t>
      </w:r>
      <w:r>
        <w:rPr>
          <w:rFonts w:ascii="Arial" w:hAnsi="Arial" w:cs="Arial"/>
          <w:sz w:val="24"/>
          <w:szCs w:val="24"/>
        </w:rPr>
        <w:t>Testfelder auf der Straße (insbesondere in den Städten), Schiene und Wasserstraße („autonomes Fahren auf der Elbe“ – Elbe 4.0) unterstützen. Wir werden Fahrerassistenzsysteme wie nicht abschaltbare Notbremssysteme oder Abbiegeassistenten für Lkw und Busse verbindlich vorschreiben und eine Nachrüstpflicht für Lkw- Abstandswarnsysteme prüfen.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dass die Nutzerinnen und Nutzer des ÖPNV künftig mit einem elektronischen Ticket (eTicket) bargeldlos – vorzugsweise mit einer Anwendung im Smartphone – über Verkehrsverbünde hinweg, bundesweit fahren können. Wir werden die Verknüpfung der Verkehrsträger verbessern, indem wir bessere Informationen in Echtzeit zur Verfügung stellen. Im Rahmen der internetbasierten Fahrzeugzulassung (i-Kfz) werden wir die internetbasierte Neuzulassung und Umschreibung einführen.</w:t>
      </w:r>
    </w:p>
    <w:p w:rsidR="007F452D" w:rsidRDefault="007F452D">
      <w:pPr>
        <w:suppressAutoHyphen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Daten sind der Rohstoff des 21. Jahrhunderts. Wir wollen durch neue Open-Data-Anwendungen die Mobilität der Menschen und den Transport der Waren vereinfachen. Gleichzeitig kann durch Open-Data Transparenz hergestellt und Betrug, z. B. durch Tachomanipulationen, wirksam bekämpft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Bürgerinnen und Bürger müssen sicher sein, dass ihre Daten jederzeit geschützt sind und nicht gegen ihre Interessen eingesetzt werden. Um beim automatisierten Fahren Datenschutz und Datensicherheit zu gewährleisten, werden wir einen Verordnungsentwurf im Bundestag vorlegen.</w:t>
      </w:r>
    </w:p>
    <w:p w:rsidR="007F452D" w:rsidRDefault="007F452D">
      <w:pPr>
        <w:spacing w:after="0" w:line="240" w:lineRule="auto"/>
        <w:contextualSpacing/>
        <w:rPr>
          <w:rStyle w:val="xxt"/>
          <w:rFonts w:ascii="Arial" w:hAnsi="Arial" w:cs="Arial"/>
          <w:b/>
          <w:sz w:val="24"/>
          <w:szCs w:val="24"/>
        </w:rPr>
      </w:pPr>
    </w:p>
    <w:p w:rsidR="007F452D" w:rsidRDefault="006007DF">
      <w:pPr>
        <w:pStyle w:val="berschrift3"/>
        <w:contextualSpacing/>
        <w:rPr>
          <w:rStyle w:val="xxt"/>
          <w:rFonts w:cs="Arial"/>
          <w:szCs w:val="24"/>
        </w:rPr>
      </w:pPr>
      <w:r>
        <w:rPr>
          <w:rStyle w:val="xxt"/>
          <w:rFonts w:cs="Arial"/>
          <w:szCs w:val="24"/>
        </w:rPr>
        <w:t>Luftverkehr</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faire Rahmenbedingungen im Einklang mit europäischen und internationalen Regelungen für die Luftverkehrswirtschaft. Dazu gehören die Umsetzung des Luftverkehrskonzeptes, die Entlastung unserer Flughäfen und Luftfahrtunternehmen von einseitigen nationalen Kosten. Damit haben wir bereits im letzten Jahr begonnen.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bedarfsgerechte Kapazitätserweiterung der Flughäfen muss auch in Zukunft möglich sein. Die Luftverkehrswirtschaft ist aufgefordert, den durch Emissionen verursachten Nachteilen wirksam zu begegnen.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 xml:space="preserve">Luftsicherheitskontrollen sind eine hoheitliche Aufgabe. Daher soll der Staat mehr strukturelle Verantwortung und Anteile der in den letzten Jahren gestiegenen Kosten für die Sicherheit der Menschen beim Fliegen übernehmen. Wir werden gleichzeitig die bestehende Organisation und Aufgabenwahrnehmung und -verteilung für die Luftsicherheit begutachten und konzeptionelle Vorschläge erarbeiten lassen, um diese in Deutschland einheitlicher und effizienter zu gestalten. </w:t>
      </w:r>
    </w:p>
    <w:p w:rsidR="007F452D" w:rsidRDefault="007F452D">
      <w:pPr>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befürworten den Beschluss zur weltweiten Einführung des Klimaschutzinstruments CORSIA durch die Internationale Zivilluftfahrtorganisation (ICAO) ab 2020. Innovative Luftverkehrstechnologien werden wir fördern. Wir werden uns national, europäisch und international dafür einsetzen, dass die Emissionen des Luft- und insbesondere Seeverkehrs gesenkt werden und beide Sektoren zu den internationalen Klimazielen beitragen. Den Umwelt- und Nachhaltigkeitsbezug des Luftfahrtforschungsprogramms (LUFO) wollen wir weiter ausbauen und mehr finanzielle Mittel zur Verbesserung der Erforschung und Erprobung alternativer Treibstoffe im Luftverkehr bereitstellen, dazu gehört auch die Ausstattung von Flughäfen mit Landstrom. Für den Luftverkehr wollen wir die Forschung und Entwicklung zur Herstellung und Nutzung von alternativen, strombasierten Kraftstoffen vorantreiben und fördern.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die industriepolitische Zusammenarbeit von Bund, Ländern, Luftfahrt und Gewerkschaften zur Stärkung von Innovations- und Wettbewerbsfähigkeit des Luftfahrtstandorts Deutschland institutionalisieren und mit einer regelmäßigen Bund-Länder-Konferenz begleiten.</w:t>
      </w:r>
    </w:p>
    <w:p w:rsidR="007F452D" w:rsidRDefault="007F452D">
      <w:pPr>
        <w:suppressAutoHyphen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Style w:val="xxt"/>
          <w:rFonts w:ascii="Arial" w:hAnsi="Arial" w:cs="Arial"/>
          <w:sz w:val="24"/>
          <w:szCs w:val="24"/>
        </w:rPr>
      </w:pPr>
      <w:r>
        <w:rPr>
          <w:rFonts w:ascii="Arial" w:hAnsi="Arial" w:cs="Arial"/>
          <w:sz w:val="24"/>
          <w:szCs w:val="24"/>
        </w:rPr>
        <w:t>Die Sicherheit der Menschen muss auch bei zunehmender kommerzieller und privater Nutzung von Drohnen gegeben sein. Den rechtlichen Rahmen werden wir weiterentwickeln. Wir setzen dabei insbesondere auf eine Registrierungspflicht, vereinfachte Zulassungsverfahren und technische Neuerungen (z. B. Geofencing).</w:t>
      </w:r>
      <w:r>
        <w:rPr>
          <w:rStyle w:val="xxt"/>
          <w:rFonts w:ascii="Arial" w:hAnsi="Arial" w:cs="Arial"/>
          <w:sz w:val="24"/>
          <w:szCs w:val="24"/>
        </w:rPr>
        <w:t xml:space="preserve"> Wir wollen auf die Deutsche Flugsicherung einwirken, die Treibstoffschnellablässe zeitnah auf ihrer Internetseite zu veröffentlichen.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halten an der Beteiligung des Bundes am Flughafen Köln-Bonn fest. Alle Beteiligten sind aufgefordert, an einer zügigen Fertigstellung des neuen Hauptstadtflughafens BER mitzuwirken.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Genehmigungsdauer für Ein- und Ausflüge von Ad-hoc-Frachtchartern deutlich verkürzen. Hierfür werden wir das Luftfahrtbundesamt stärken. Für den Flughafen Leipzig-Halle wollen wir die Frachtfluglanderechte erweitern und diesen generell als Landepunkt für den Luftfrachtverkehr in die assoziierten Dokumente und damit in die Luftverkehrsabkommen aufnehmen.</w:t>
      </w:r>
    </w:p>
    <w:p w:rsidR="007F452D" w:rsidRDefault="007F452D">
      <w:pPr>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unterstützen den Novellierungsvorschlag der EU-Kommission für die europäische Fluggastrechte-Verordnung.</w:t>
      </w:r>
    </w:p>
    <w:p w:rsidR="007F452D" w:rsidRDefault="007F452D">
      <w:pPr>
        <w:suppressAutoHyphens/>
        <w:spacing w:after="0" w:line="240" w:lineRule="auto"/>
        <w:contextualSpacing/>
        <w:jc w:val="both"/>
        <w:rPr>
          <w:rFonts w:ascii="Arial" w:hAnsi="Arial" w:cs="Arial"/>
          <w:sz w:val="24"/>
          <w:szCs w:val="24"/>
        </w:rPr>
      </w:pPr>
    </w:p>
    <w:p w:rsidR="007F452D" w:rsidRDefault="006007DF">
      <w:pPr>
        <w:pStyle w:val="berschrift3"/>
        <w:contextualSpacing/>
        <w:rPr>
          <w:rStyle w:val="xxt"/>
          <w:rFonts w:cs="Arial"/>
          <w:szCs w:val="24"/>
        </w:rPr>
      </w:pPr>
      <w:r>
        <w:rPr>
          <w:rStyle w:val="xxt"/>
          <w:rFonts w:cs="Arial"/>
          <w:szCs w:val="24"/>
        </w:rPr>
        <w:t>Schifffahrt</w:t>
      </w: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Das Gesamtsystem aus Häfen und Wasserstraßen werden wir durch eine bessere konzeptionelle Vernetzung nachhaltig stärken. Zur Förderung des maritimen Standortes wollen wir die Förderinstrumente evaluieren und weiterentwickeln. Das nationale Hafenkonzept wollen wir konsequent umsetzen. Das Deutsche Maritime Zentrum (DMZ) wird als zentraler Ansprechpartner etabliert.</w:t>
      </w: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lastRenderedPageBreak/>
        <w:t>Wir werden das Maritime Bündnis unter Einbeziehung der Gewerkschaften stärken. Wir werden in Deutschland maritimes Know-how erhalten und dazu die maritime Ausbildung stärken. Die Auswirkungen der Entlastungsoffensive für die deutsche Flagge werden evaluiert. Bei Bedarf wollen wir das Gesamtpaket – einschließlich der Ausbildungsplatzförderung – anpassen. Die Optimierung und Modernisierung der Flaggenstaatverwaltung werden wir weiter voranbringen. Dazu gehört sowohl die Überprüfung und gegebenenfalls Anpassung der bisherigen Strukturen als auch die komplett elektronische Abwicklung der Verfahren bis 2020 sowie die dringend notwendige Modernisierung des Schifffahrtsrechts.</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Auf nationaler Ebene wollen wir unsere technologieoffenen Initiativen zugunsten alternativer Antriebe und Energiequellen in der Schifffahrt und in den Häfen (LNG, Wasserstoff/Brennstoffzelle, Methanol, Elektromobilität) verstärken und verstetigen.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Im Hafenbereich gehören die Absenkung der EEG-Umlage und der Einsatz energieeffizienter Fahrzeuge dazu. Wir stellen flächendeckend Landstrom für die deutschen Häfen zur Verfügung. Wir setzen uns für eine europaweit einheitliche Nutzungspflicht ein. Der einheitlichen Rechtsanwendung und dem entsprechenden Genehmigungsmanagement beim Thema LNG kommt in den Häfen hohe Bedeutung zu.</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digitale Technologien und den automatisierten Betrieb in der Schifffahrt, den Häfen und der maritimen Lieferkette vorantreiben (z. B. digitales Testfeld Hamburger Hafen).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Das Förderprogramm Innovative Hafentechnologien wollen wir über 2020 hinaus verlängern. Unser Ziel ist, dass die Häfen ihre Stärken künftig gemeinsam noch besser nutzen – beispielsweise als „German Ports“.</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Zur Stärkung der Wettbewerbsfähigkeit der Binnenschifffahrt wollen wir die Befahrensabgaben für die Nutzung der Binnenwasserstraßen (ausgenommen der Nord-Ostsee-Kanal – NOK) abschaffen.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Das Förderprogramm „Nachhaltige Modernisierung von Binnenschiffen“ wollen wir fortsetzen und ausbauen. Fördern wollen wir zudem alternative Antriebe in der See- und Binnenschifffahrt sowie Pilotprojekte für alternative Antriebskonzepte und Kraftstoffe. Gemeinsam mit dem Gewerbe werden wir einen „Masterplan Binnenschifffahrt“ entwickeln. Wichtige Bestandteile werden die Modernisierung und Umweltfreundlichkeit der Flotte, Anreizsysteme sowie Infrastruktur/Logistik sein. Wir wollen ein Konzept einer Gebührenstaffelung zur Förderung einer modernen und nachhaltigen Flotte vorlegen. Wir werden die Reform der Wasser- und Schifffahrtsverwaltung (WSV) zügig umsetzen.</w:t>
      </w:r>
    </w:p>
    <w:p w:rsidR="007F452D" w:rsidRDefault="007F452D">
      <w:pPr>
        <w:suppressAutoHyphen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Für die Nutzung der Wasserstraßen und Häfen braucht es zudem klare und verständliche Rechtsregelungen, die wir u. a. durch ein modernes Schifffahrtsgesetzbuch schaffen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Für die ausschließlich dem Tourismus oder Sport dienenden Nebenwasserstraßen des Bundes wollen wir entsprechend der Befahrbarkeit neue Prioritäten setzen und diese unterstützen. Wir streben an, zusammen mit den Bundesländern und Regionen neue Konzepte für die einzelnen Wasserwege zu entwickeln.</w:t>
      </w:r>
    </w:p>
    <w:p w:rsidR="007F452D" w:rsidRDefault="006007DF">
      <w:pPr>
        <w:pStyle w:val="berschrift3"/>
        <w:contextualSpacing/>
        <w:rPr>
          <w:rStyle w:val="xxt"/>
          <w:rFonts w:cs="Arial"/>
          <w:szCs w:val="24"/>
        </w:rPr>
      </w:pPr>
      <w:r>
        <w:rPr>
          <w:rStyle w:val="xxt"/>
          <w:rFonts w:cs="Arial"/>
          <w:szCs w:val="24"/>
        </w:rPr>
        <w:lastRenderedPageBreak/>
        <w:t xml:space="preserve">Transport und Logistik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uns weiterhin für EU-weit einheitliche und faire Wettbewerbsbedingungen in der Logistik einsetzen und entsprechende Kontrollmechanismen optimieren.</w:t>
      </w:r>
    </w:p>
    <w:p w:rsidR="007F452D" w:rsidRDefault="007F452D">
      <w:pPr>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Sozialbetrug und Sozialdumping darf es auf unseren Straßen nicht geben. Wir werden daher klarere Regelungen der Haftung entlang der Logistikkette entwickeln. In diesem Zusammenhang werden wir auch die EU-Initiative „Europe on the Move“ kritisch begleiten. Wichtige Kriterien dabei sind die Anwendung der Entsenderichtlinie für Lkw-Fahrer und der Mindestlohnregelungen. Die Kabotage darf dabei nicht weiter ausgeweitet werden. Wir werden wirksame Instrumente zur Kontrolle der Kabotage schaffen. Auch Transporter im gewerblichen Güterverkehr mit einem zulässigen Gesamtgewicht unter 3,5 Tonnen müssen künftig den Bedingungen des Güterkraftverkehrsrechts unterliegen.</w:t>
      </w:r>
    </w:p>
    <w:p w:rsidR="007F452D" w:rsidRDefault="007F452D">
      <w:pPr>
        <w:suppressAutoHyphens/>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den kombinierten Verkehr weiter stärken.</w:t>
      </w:r>
    </w:p>
    <w:p w:rsidR="007F452D" w:rsidRDefault="007F452D">
      <w:pPr>
        <w:suppressAutoHyphen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führende Position des Güterverkehr- und Logistikstandorts Deutschland wollen wir mit einem „Innovationsprogramm Logistik 2030“ sichern. Auch wollen wir das Netzwerk Güterverkehr und Logistik stärken und die Vermarktungsoffensive </w:t>
      </w:r>
      <w:r>
        <w:rPr>
          <w:rFonts w:ascii="Arial" w:hAnsi="Arial" w:cs="Arial"/>
          <w:sz w:val="24"/>
          <w:szCs w:val="24"/>
        </w:rPr>
        <w:br/>
        <w:t>„Logistics made in Germany“ fortsetzen. Wir unterstützen eine Ausbildungsinitiative für Berufskraftfahrer.</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Mautharmonisierung bleibt Bestandteil unserer Nutzerfinanzierung. Mit der Branche werden wir gezielte Maßnahmen ergreifen, um dem Fachkräftemangel wirksam zu begegnen. Zur besseren Kontrolle setzen wir uns auf europäischer Ebene für die Einführung eines europaweiten elektronischen Frachtbriefs ein. Außerdem wollen wir die Kontrollbehörden im Straßengüterverkehr, insbesondere das Bundesamt für Güterverkehr, aufgabenadäquat besser personell ausstatten.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Genehmigungspraxis für Schwer- und Großraumtransporte werden wir beschleunigen und verbessern.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Zur verkehrssicheren Abwicklung des Verkehrs auf unseren Autobahnen gehört auch die bedarfsgerechte Bereitstellung von Stellplätzen für den Güterkraftverkehr, damit die Lenk- und Ruhezeiten eingehalten werden können. Wir wollen deshalb weiterhin in den Ausbau des Parkplatzangebotes für Lkw auf den Rastanlagen der Bundesautobahnen investieren.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Zudem wollen wir strategische Forschungs- und Demonstrationsprojekte zu innovativen Mobilitäts- und Logistikkonzepten fördern.</w:t>
      </w:r>
    </w:p>
    <w:p w:rsidR="007F452D" w:rsidRDefault="007F452D">
      <w:pPr>
        <w:spacing w:after="0" w:line="240" w:lineRule="auto"/>
        <w:contextualSpacing/>
        <w:rPr>
          <w:rStyle w:val="xxt"/>
          <w:rFonts w:ascii="Arial" w:hAnsi="Arial" w:cs="Arial"/>
          <w:b/>
          <w:sz w:val="24"/>
          <w:szCs w:val="24"/>
        </w:rPr>
      </w:pPr>
    </w:p>
    <w:p w:rsidR="007F452D" w:rsidRDefault="006007DF">
      <w:pPr>
        <w:pStyle w:val="berschrift3"/>
        <w:contextualSpacing/>
        <w:rPr>
          <w:rStyle w:val="xxt"/>
          <w:rFonts w:cs="Arial"/>
          <w:szCs w:val="24"/>
        </w:rPr>
      </w:pPr>
      <w:r>
        <w:rPr>
          <w:rStyle w:val="xxt"/>
          <w:rFonts w:cs="Arial"/>
          <w:szCs w:val="24"/>
        </w:rPr>
        <w:t>Forschung und Entwicklung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von der Bundesregierung geförderte Mobilitätsforschung wird künftig verstärkt die gesamte Breite von Mobilitätsangeboten auch unter klimapolitischen sowie gesellschafts- und sozialwissenschaftlichen Aspekten betrachten. Für mehr Effizienz wollen wir Mobilitätsforschung im zuständigen Ministerium für Verkehr bündeln.</w:t>
      </w:r>
    </w:p>
    <w:p w:rsidR="00BD70C6" w:rsidRDefault="00BD70C6">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ein eigenständiges Forschungsprogramm für den Schienenverkehr schaffen und ergreifen die Initiative zur Etablierung eines deutschen Zentrums für Schienenverkehrsforschung, das als eine praxisorientierte, technisch-wissenschaftliche Forschungseinrichtung aufgebaut werden soll. Zudem wollen wir die Lärmforschung </w:t>
      </w:r>
      <w:r>
        <w:rPr>
          <w:rFonts w:ascii="Arial" w:hAnsi="Arial" w:cs="Arial"/>
          <w:sz w:val="24"/>
          <w:szCs w:val="24"/>
        </w:rPr>
        <w:lastRenderedPageBreak/>
        <w:t>an der Schiene fördern und ein Pilotprojekt „LärmLab 21“ in mehreren lärmbelasteten Regionen einrichten, um Verfahren für einen besseren Lärmschutz zu testen und einen intensiveren Dialogprozess mit allen Beteiligten anzustoßen.</w:t>
      </w:r>
    </w:p>
    <w:p w:rsidR="007F452D" w:rsidRDefault="007F452D">
      <w:pPr>
        <w:suppressAutoHyphen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Zur Erforschung und Eindämmung von Weltraumwetterrisiken auf unsere technische Infrastruktur wollen Bund und Länder am Aufbau eines globalen Weltraumwetterzen-trums unter Zuhilfenahme bestehender Strukturen mitwirken. </w:t>
      </w:r>
    </w:p>
    <w:p w:rsidR="007F452D" w:rsidRDefault="007F452D">
      <w:pPr>
        <w:spacing w:after="0" w:line="240" w:lineRule="auto"/>
        <w:contextualSpacing/>
        <w:rPr>
          <w:rFonts w:ascii="Arial" w:hAnsi="Arial" w:cs="Arial"/>
          <w:sz w:val="24"/>
          <w:szCs w:val="24"/>
        </w:rPr>
      </w:pPr>
    </w:p>
    <w:p w:rsidR="007F452D" w:rsidRDefault="006007DF">
      <w:pPr>
        <w:pStyle w:val="berschrift2"/>
        <w:numPr>
          <w:ilvl w:val="1"/>
          <w:numId w:val="11"/>
        </w:numPr>
        <w:contextualSpacing/>
        <w:rPr>
          <w:szCs w:val="24"/>
        </w:rPr>
      </w:pPr>
      <w:bookmarkStart w:id="27" w:name="_Toc505767161"/>
      <w:r>
        <w:rPr>
          <w:szCs w:val="24"/>
        </w:rPr>
        <w:t>Landwirtschaft und Ernährung</w:t>
      </w:r>
      <w:bookmarkEnd w:id="27"/>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Unser Ziel ist eine nachhaltige flächendeckende Landwirtschaft – sowohl ökologisch als auch konventionell. Nachhaltige Landwirtschaft und Naturschutz sind keine Gegensätze. Wir wollen eine multifunktional ausgerichtete, bäuerlich-unternehmerische, familiengeführte und regional verwurzelte Landwirtschaft erhalten. Der gesellschaftlich geforderte Wandel in der Landwirtschaft und die veränderten Erwartungen der Verbraucher bedürfen einer finanziellen Förderung – national wie europäisch.</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Gemeinsame Europäische Agrarpolitik</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Dafür bedarf es einer Weiterentwicklung und Neujustierung der Gemeinsamen Europäischen Agrarpolitik (GAP). Wir streben eine Haushaltsausstattung im bisherigen Volumen auf EU-Ebene an. Aber die Förderstrukturen nach 2020 müssen gezielter und einfacher als bisher ausgerichtet werden. Wir wollen weniger Bürokratie und mehr Effizienz für eine marktfähige Landwirtschaft, die gesunde Lebensmittel nachhaltig produziert. Insofern sind besonders Tier-, Natur- und Klimaschutz sowie die Wahrung sozialer Standards im öffentlichen Interesse auch öffentlich zu fördern. Die Verwendung der Mittel soll neben der Einkommensstabilisierung besser auf diese Ziele ausgerichtet werden. Dabei achten wir auch auf ertragsschwache Standorte mit geringen Bodenwerten.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Förderung der ländlichen Entwicklung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lebenswerte und attraktive ländliche Räume. Gerade mit Blick auf die Herausforderungen von Demografie und Daseinsvorsorge wird die Gemeinschaftsaufgabe zur Verbesserung der Agrarstruktur und des Küstenschutzes (GAK) bei finanzieller Stärkung um ländliche Entwicklung ergänzt. Die Mittel sind im bisherigen Maße übertragbar. Die Gleichwertigkeit der Lebensverhältnisse wollen wir mit einem erweiterten Förderrahmen erreichen und dabei auch das Ehrenamt stärken. Wir wollen einen GAK-Sonderrahmenplan „Förderung der ländlichen Entwicklung“ einsetzen. Den Sonderrahmenplan Hochwasser- und Küstenschutz wollen wir fortführen und an die Herausforderungen des Klimawandels anpassen.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 xml:space="preserve">Gentechnik </w:t>
      </w:r>
    </w:p>
    <w:p w:rsidR="007F452D" w:rsidRDefault="006007DF">
      <w:pPr>
        <w:spacing w:after="0" w:line="240" w:lineRule="auto"/>
        <w:contextualSpacing/>
        <w:jc w:val="both"/>
        <w:rPr>
          <w:rFonts w:ascii="Arial" w:hAnsi="Arial" w:cs="Arial"/>
          <w:bCs/>
          <w:sz w:val="24"/>
          <w:szCs w:val="24"/>
        </w:rPr>
      </w:pPr>
      <w:r>
        <w:rPr>
          <w:rFonts w:ascii="Arial" w:hAnsi="Arial" w:cs="Arial"/>
          <w:bCs/>
          <w:sz w:val="24"/>
          <w:szCs w:val="24"/>
        </w:rPr>
        <w:t>Patente auf Pflanzen und Tiere lehnen wir ab. Ebenso das Klonen von Tieren zur Lebensmittelerzeugung. Wir halten an der Saatgutreinheit fest. Ein Gentechnikanbau-Verbot werden wir bundesweit einheitlich regeln (Opt-Out-Richtlinie der EU). Im Anschluss an die noch ausstehende Entscheidung des Europäischen Gerichtshofes (EuGH) zu den neuen molekularbiologischen Züchtungstechnologien werden wir auf europäischer oder gegebenenfalls nationaler Ebene Regelungen vornehmen, die das Vorsorgeprinzip und die Wahlfreiheit gewährleisten.</w:t>
      </w:r>
    </w:p>
    <w:p w:rsidR="007F452D" w:rsidRDefault="007F452D">
      <w:pPr>
        <w:spacing w:after="0" w:line="240" w:lineRule="auto"/>
        <w:contextualSpacing/>
        <w:jc w:val="both"/>
        <w:rPr>
          <w:rFonts w:ascii="Arial" w:hAnsi="Arial" w:cs="Arial"/>
          <w:bCs/>
          <w:sz w:val="24"/>
          <w:szCs w:val="24"/>
        </w:rPr>
      </w:pPr>
    </w:p>
    <w:p w:rsidR="007F452D" w:rsidRDefault="006007DF">
      <w:pPr>
        <w:pStyle w:val="berschrift3"/>
        <w:contextualSpacing/>
        <w:rPr>
          <w:rFonts w:cs="Arial"/>
          <w:szCs w:val="24"/>
        </w:rPr>
      </w:pPr>
      <w:r>
        <w:rPr>
          <w:rFonts w:cs="Arial"/>
          <w:szCs w:val="24"/>
        </w:rPr>
        <w:t>Ökologische Landwirtschaft und Eiweißstrategie stärken</w:t>
      </w:r>
    </w:p>
    <w:p w:rsidR="007F452D" w:rsidRDefault="006007DF">
      <w:pPr>
        <w:spacing w:after="0"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Ausgehend von der Zukunftsstrategie Ökologischer Landbau werden wir den Ökolandbau weiter ausbauen, um einen Flächenanteil von 20 Prozent nachfrageorientiert </w:t>
      </w:r>
      <w:r>
        <w:rPr>
          <w:rFonts w:ascii="Arial" w:hAnsi="Arial" w:cs="Arial"/>
          <w:sz w:val="24"/>
          <w:szCs w:val="24"/>
          <w:shd w:val="clear" w:color="auto" w:fill="FFFFFF"/>
        </w:rPr>
        <w:lastRenderedPageBreak/>
        <w:t>und bei Ausbau der Forschung bis zum Jahr 2030 zu erreichen. Wir wollen im Rahmen der Modell- und Demonstrationsprojekte (Best-Practice) Vorhaben zur regionalen Wertschöpfung und Vermarktung fördern, z. B. Netzwerk Solidarische Landwirtschaft (Solawi).</w:t>
      </w:r>
    </w:p>
    <w:p w:rsidR="007F452D" w:rsidRDefault="007F452D">
      <w:pPr>
        <w:spacing w:after="0" w:line="240" w:lineRule="auto"/>
        <w:contextualSpacing/>
        <w:jc w:val="both"/>
        <w:rPr>
          <w:rFonts w:ascii="Arial" w:hAnsi="Arial" w:cs="Arial"/>
          <w:sz w:val="24"/>
          <w:szCs w:val="24"/>
          <w:shd w:val="clear" w:color="auto" w:fill="FFFFFF"/>
        </w:rPr>
      </w:pPr>
    </w:p>
    <w:p w:rsidR="007F452D" w:rsidRDefault="006007DF">
      <w:pPr>
        <w:spacing w:after="0"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Die Attraktivität des Anbaus von Eiweißpflanzen wollen wir im Rahmen der Weiterentwicklung der Eiweißpflanzenstrategie erhöhen. Dauergrünland werden wir als Beitrag zum Klimaschutz weiter effektiv schützen. Die Fünfjahresfrist zur Umwandlung von Ackergras in Dauergrünland werden wir überprüfen.</w:t>
      </w:r>
    </w:p>
    <w:p w:rsidR="007F452D" w:rsidRDefault="007F452D">
      <w:pPr>
        <w:spacing w:after="0" w:line="240" w:lineRule="auto"/>
        <w:contextualSpacing/>
        <w:jc w:val="both"/>
        <w:rPr>
          <w:rFonts w:ascii="Arial" w:hAnsi="Arial" w:cs="Arial"/>
          <w:sz w:val="24"/>
          <w:szCs w:val="24"/>
          <w:shd w:val="clear" w:color="auto" w:fill="FFFFFF"/>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Initiativen für nachhaltige, entwaldungsfreie Lieferketten von Agrarrohstoffen, z. B. Palmöl, Kakao und Soja, unterstützen. </w:t>
      </w:r>
      <w:bookmarkStart w:id="28" w:name="_Hlk505251726"/>
    </w:p>
    <w:p w:rsidR="007F452D" w:rsidRDefault="007F452D">
      <w:pPr>
        <w:spacing w:after="0" w:line="240" w:lineRule="auto"/>
        <w:contextualSpacing/>
        <w:jc w:val="both"/>
        <w:rPr>
          <w:rFonts w:ascii="Arial" w:hAnsi="Arial" w:cs="Arial"/>
          <w:sz w:val="24"/>
          <w:szCs w:val="24"/>
          <w:shd w:val="clear" w:color="auto" w:fill="FFFFFF"/>
        </w:rPr>
      </w:pPr>
    </w:p>
    <w:p w:rsidR="007F452D" w:rsidRDefault="006007DF">
      <w:pPr>
        <w:spacing w:after="0"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Aus Gründen des Klimaschutzes werden wir die Beihilfefähigkeit oder andere Formen der finanziellen Unterstützung von klimafreundlichen Paludikulturen prüfen.</w:t>
      </w:r>
    </w:p>
    <w:p w:rsidR="007F452D" w:rsidRDefault="007F452D">
      <w:pPr>
        <w:spacing w:after="0" w:line="240" w:lineRule="auto"/>
        <w:contextualSpacing/>
        <w:jc w:val="both"/>
        <w:rPr>
          <w:rFonts w:ascii="Arial" w:hAnsi="Arial" w:cs="Arial"/>
          <w:sz w:val="24"/>
          <w:szCs w:val="24"/>
          <w:shd w:val="clear" w:color="auto" w:fill="FFFFFF"/>
        </w:rPr>
      </w:pPr>
    </w:p>
    <w:p w:rsidR="007F452D" w:rsidRDefault="006007DF">
      <w:pPr>
        <w:pStyle w:val="berschrift3"/>
        <w:contextualSpacing/>
        <w:rPr>
          <w:rFonts w:cs="Arial"/>
          <w:szCs w:val="24"/>
        </w:rPr>
      </w:pPr>
      <w:r>
        <w:rPr>
          <w:rFonts w:cs="Arial"/>
          <w:szCs w:val="24"/>
        </w:rPr>
        <w:t>Ackerbaustrategie und Insektenschutz</w:t>
      </w:r>
    </w:p>
    <w:p w:rsidR="007F452D" w:rsidRDefault="006007DF">
      <w:pPr>
        <w:spacing w:after="0"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Die Umsetzung der Ackerbaustrategie für u. a. umwelt- und naturverträgliche Anwendungen von Pflanzenschutzmitteln werden wir gemeinsam mit der Landwirtschaft vornehmen und adäquat mit Fördermitteln für Maßnahmen zur Umsetzung der Nationalen Biodiversitätsstrategie und insbesondere des Insektenschutzes untersetzen. Dabei liegt uns der Schutz der Bienen besonders am Herzen. Wir legen diese Strategien bis Mitte der Legislaturperiode vor. </w:t>
      </w:r>
    </w:p>
    <w:p w:rsidR="007F452D" w:rsidRDefault="007F452D">
      <w:pPr>
        <w:spacing w:after="0" w:line="240" w:lineRule="auto"/>
        <w:contextualSpacing/>
        <w:jc w:val="both"/>
        <w:rPr>
          <w:rFonts w:ascii="Arial" w:hAnsi="Arial" w:cs="Arial"/>
          <w:sz w:val="24"/>
          <w:szCs w:val="24"/>
          <w:shd w:val="clear" w:color="auto" w:fill="FFFFFF"/>
        </w:rPr>
      </w:pPr>
    </w:p>
    <w:p w:rsidR="007F452D" w:rsidRDefault="006007DF">
      <w:pPr>
        <w:spacing w:after="0" w:line="240" w:lineRule="auto"/>
        <w:contextualSpacing/>
        <w:jc w:val="both"/>
        <w:rPr>
          <w:rFonts w:ascii="Arial" w:hAnsi="Arial" w:cs="Arial"/>
          <w:sz w:val="24"/>
          <w:szCs w:val="24"/>
          <w:highlight w:val="yellow"/>
          <w:shd w:val="clear" w:color="auto" w:fill="FFFFFF"/>
        </w:rPr>
      </w:pPr>
      <w:r>
        <w:rPr>
          <w:rFonts w:ascii="Arial" w:hAnsi="Arial" w:cs="Arial"/>
          <w:sz w:val="24"/>
          <w:szCs w:val="24"/>
          <w:shd w:val="clear" w:color="auto" w:fill="FFFFFF"/>
        </w:rPr>
        <w:t>Die an der Pflanzenschutzmittel-Zulassung beteiligten Behörden statten wir mit zusätzlichem Personal aus, um die Zulassungsverfahren zügig durchführen zu können. Wir sorgen für eine bessere Transparenz der Zulassungsverfahren für Wirkstoffe und Pflanzenschutzmittel auf EU- und nationaler Ebene. Wir werden die Forschung verstärken, um die Bandbreite innovativer und vorhandener Pflanzenschutzmittel – auch im ökologischen Landbau – zu erweitern. Wir beziehen in diese Strategie auch den Garten- und Weinbau sowie die Forstwirtschaft mit ein. Wir werden die Ackerbaustrategie durch ein Innovationsprogramm für digital-mechanische Methoden, z. B. zur Unkrautbekämpfung und Bodenlockerung, ergänzen. Dies soll dazu beitragen den Einsatz von chemisch-synthetischen Pflanzenschutzmitteln wirksam zu reduzieren.</w:t>
      </w:r>
    </w:p>
    <w:bookmarkEnd w:id="28"/>
    <w:p w:rsidR="007F452D" w:rsidRDefault="007F452D">
      <w:pPr>
        <w:spacing w:after="0" w:line="240" w:lineRule="auto"/>
        <w:contextualSpacing/>
        <w:jc w:val="both"/>
        <w:rPr>
          <w:rFonts w:ascii="Arial" w:hAnsi="Arial" w:cs="Arial"/>
          <w:b/>
          <w:sz w:val="24"/>
          <w:szCs w:val="24"/>
          <w:shd w:val="clear" w:color="auto" w:fill="FFFFFF"/>
        </w:rPr>
      </w:pPr>
    </w:p>
    <w:p w:rsidR="007F452D" w:rsidRDefault="006007DF">
      <w:pPr>
        <w:pStyle w:val="berschrift3"/>
        <w:contextualSpacing/>
        <w:rPr>
          <w:rFonts w:cs="Arial"/>
          <w:szCs w:val="24"/>
          <w:highlight w:val="cyan"/>
        </w:rPr>
      </w:pPr>
      <w:r>
        <w:rPr>
          <w:rFonts w:cs="Arial"/>
          <w:szCs w:val="24"/>
        </w:rPr>
        <w:t xml:space="preserve">Chancen der Digitalisierung nutzen </w:t>
      </w:r>
    </w:p>
    <w:p w:rsidR="007F452D" w:rsidRDefault="006007DF">
      <w:pPr>
        <w:spacing w:after="0"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Mit einer fortschrittlichen Digitalisierungspolitik werden wir die Zukunftschancen unserer Land- und Forstwirtschaft, des Garten- und Weinbaus sowie der Fischerei verbessern. Wir werden die Potenziale der Digitalisierung in der landwirtschaftlichen Produktion, beispielsweise zur Reduzierung des Einsatzes von Pflanzenschutz- und Düngemitteln, des Medikamenteneinsatzes in der Tierhaltung sowie die Erhebung meldepflichtiger Angaben fördern. Hier begleiten wir das Thema Datenschnittstelle und standardisierter Datenformate. Die mit öffentlichen Mitteln erzeugten Daten müssen kostenlos und in geeigneten Formaten zur Verfügung gestellt werden. Dazu müssen Rahmenbedingungen für eine gemeinsam getragene Verantwortung von Staat, Wirtschaft und Gesellschaft entwickelt werden. Wir werden verhindern, dass sensible Daten und andere betriebsspezifische Daten unkontrolliert an Dritte weitergegeben werden.</w:t>
      </w:r>
    </w:p>
    <w:p w:rsidR="007F452D" w:rsidRDefault="007F452D">
      <w:pPr>
        <w:spacing w:after="0" w:line="240" w:lineRule="auto"/>
        <w:contextualSpacing/>
        <w:jc w:val="both"/>
        <w:rPr>
          <w:rFonts w:ascii="Arial" w:hAnsi="Arial" w:cs="Arial"/>
          <w:sz w:val="24"/>
          <w:szCs w:val="24"/>
          <w:shd w:val="clear" w:color="auto" w:fill="FFFFFF"/>
        </w:rPr>
      </w:pPr>
    </w:p>
    <w:p w:rsidR="007F452D" w:rsidRDefault="006007DF">
      <w:pPr>
        <w:spacing w:after="0"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Grüne Berufe sollen attraktiver und zukunftsfähiger werden. Insbesondere im Bereich der Digitalisierung in der Land- und Forstwirtschaft werden wir in Kooperation mit den </w:t>
      </w:r>
      <w:r>
        <w:rPr>
          <w:rFonts w:ascii="Arial" w:hAnsi="Arial" w:cs="Arial"/>
          <w:sz w:val="24"/>
          <w:szCs w:val="24"/>
          <w:shd w:val="clear" w:color="auto" w:fill="FFFFFF"/>
        </w:rPr>
        <w:lastRenderedPageBreak/>
        <w:t xml:space="preserve">Ländern, dem Berufsstand und den Sozialpartnern eine Aus-, Fort- und Weiterbildungsstrategie entwickeln. </w:t>
      </w:r>
    </w:p>
    <w:p w:rsidR="007F452D" w:rsidRDefault="007F452D">
      <w:pPr>
        <w:spacing w:after="0" w:line="240" w:lineRule="auto"/>
        <w:contextualSpacing/>
        <w:jc w:val="both"/>
        <w:rPr>
          <w:rFonts w:ascii="Arial" w:hAnsi="Arial" w:cs="Arial"/>
          <w:sz w:val="24"/>
          <w:szCs w:val="24"/>
          <w:shd w:val="clear" w:color="auto" w:fill="FFFFFF"/>
        </w:rPr>
      </w:pPr>
    </w:p>
    <w:p w:rsidR="007F452D" w:rsidRDefault="006007DF">
      <w:pPr>
        <w:pStyle w:val="berschrift3"/>
        <w:contextualSpacing/>
        <w:rPr>
          <w:rFonts w:cs="Arial"/>
          <w:szCs w:val="24"/>
        </w:rPr>
      </w:pPr>
      <w:r>
        <w:rPr>
          <w:rFonts w:cs="Arial"/>
          <w:szCs w:val="24"/>
        </w:rPr>
        <w:t>Tierschutz, Tierwohllabel und Nutztierhaltung – Deutschland soll beim Tierschutz eine Spitzenposition einnehmen.</w:t>
      </w:r>
    </w:p>
    <w:p w:rsidR="007F452D" w:rsidRDefault="006007DF">
      <w:pPr>
        <w:spacing w:after="0"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Die Erkennbarkeit von tierischen Lebensmitteln, die über die gesetzlichen Vorgaben der Haltung hinausgehen, wollen wir verlässlich, einfach und verbraucherfreundlich gestalten. Dazu brauchen wir den mehrstufigen Aufbau einer staatlichen Kennzeichnung anhand verbindlicher Kriterien für Fleisch aus besserer Tierhaltung (Tierwohllabel) und schaffen dafür bis zur Mitte der Legislaturperiode die rechtlichen und organisatorischen Voraussetzungen. Der Mehraufwand soll honoriert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entwickeln die nationale Nutztierstrategie weiter, die den Tier- und Umweltschutz genauso beachtet wie die Qualität bei der Erzeugung und Marktorientierung. Um das Ziel der Verbesserung des Tierwohls in der Nutztierhaltung zu erreichen, sind Investitionen und Offenheit für die Modernisierung tierwohlorientierter Ställe der Zukunft notwendig. Dabei werden wir die Landwirtinnen und Landwirte unterstützen. Wir wollen einen Bestandsschutz genehmigter Tierhaltungsanlagen bei Modernisierungsmaßnahmen zu Tierwohlzwecken. </w:t>
      </w:r>
      <w:r>
        <w:rPr>
          <w:rFonts w:ascii="Arial" w:hAnsi="Arial" w:cs="Arial"/>
          <w:sz w:val="24"/>
          <w:szCs w:val="24"/>
          <w:shd w:val="clear" w:color="auto" w:fill="FFFFFF"/>
        </w:rPr>
        <w:t xml:space="preserve">Wir werden ein bundeseinheitliches Prüf- und Zulassungsverfahren für serienmäßig hergestellte Tierhaltungssysteme bei Nutz- und Heimtieren vorlegen und dabei auf die Besonderheiten kleiner und mittlerer Hersteller und ihre Innovationsfähigkeit Rücksicht nehmen. </w:t>
      </w:r>
    </w:p>
    <w:p w:rsidR="007F452D" w:rsidRDefault="007F452D">
      <w:pPr>
        <w:spacing w:after="0" w:line="240" w:lineRule="auto"/>
        <w:contextualSpacing/>
        <w:jc w:val="both"/>
        <w:rPr>
          <w:rFonts w:ascii="Arial" w:hAnsi="Arial" w:cs="Arial"/>
          <w:sz w:val="24"/>
          <w:szCs w:val="24"/>
          <w:shd w:val="clear" w:color="auto" w:fill="FFFFFF"/>
        </w:rPr>
      </w:pPr>
    </w:p>
    <w:p w:rsidR="007F452D" w:rsidRDefault="006007DF">
      <w:pPr>
        <w:spacing w:after="0" w:line="240" w:lineRule="auto"/>
        <w:contextualSpacing/>
        <w:jc w:val="both"/>
        <w:rPr>
          <w:rFonts w:ascii="Arial" w:hAnsi="Arial" w:cs="Arial"/>
          <w:sz w:val="24"/>
          <w:szCs w:val="24"/>
          <w:highlight w:val="yellow"/>
          <w:shd w:val="clear" w:color="auto" w:fill="FFFFFF"/>
        </w:rPr>
      </w:pPr>
      <w:r>
        <w:rPr>
          <w:rFonts w:ascii="Arial" w:hAnsi="Arial" w:cs="Arial"/>
          <w:sz w:val="24"/>
          <w:szCs w:val="24"/>
          <w:shd w:val="clear" w:color="auto" w:fill="FFFFFF"/>
        </w:rPr>
        <w:t xml:space="preserve">Wir werden Lücken in den Haltungsnormen im Tierschutzrecht schließen. Ziel ist es, wie beim Schnabelkürzen bei Legehennen, in der Nutztierhaltung auf nicht-kurative Eingriffe zu verzichten. Das Töten von Eintagsküken werden wir bis zur Mitte der Legislaturperiode beenden. Hierzu wollen wir die Beratung und Forschung verstärken sowie spezifische Ausstiegsszenarien entwickeln. Zusätzlich zu den bestehenden Wegen sollen für weitere tierschutz- und praxisgerechte Alternativen zur Ferkelkastration die rechtlichen Voraussetzungen auf wissenschaftlicher Grundlage geschaffen werden. </w:t>
      </w:r>
    </w:p>
    <w:p w:rsidR="007F452D" w:rsidRDefault="007F452D">
      <w:pPr>
        <w:spacing w:after="0" w:line="240" w:lineRule="auto"/>
        <w:contextualSpacing/>
        <w:jc w:val="both"/>
        <w:rPr>
          <w:rFonts w:ascii="Arial" w:hAnsi="Arial" w:cs="Arial"/>
          <w:sz w:val="24"/>
          <w:szCs w:val="24"/>
          <w:highlight w:val="yellow"/>
          <w:shd w:val="clear" w:color="auto" w:fill="FFFFFF"/>
        </w:rPr>
      </w:pPr>
    </w:p>
    <w:p w:rsidR="007F452D" w:rsidRDefault="006007DF">
      <w:pPr>
        <w:spacing w:after="0" w:line="240" w:lineRule="auto"/>
        <w:contextualSpacing/>
        <w:jc w:val="both"/>
        <w:rPr>
          <w:rFonts w:ascii="Arial" w:hAnsi="Arial" w:cs="Arial"/>
          <w:sz w:val="24"/>
          <w:szCs w:val="24"/>
        </w:rPr>
      </w:pPr>
      <w:bookmarkStart w:id="29" w:name="_Hlk505249745"/>
      <w:r>
        <w:rPr>
          <w:rFonts w:ascii="Arial" w:hAnsi="Arial" w:cs="Arial"/>
          <w:sz w:val="24"/>
          <w:szCs w:val="24"/>
        </w:rPr>
        <w:t>Die intensiven Bemühungen zur Erforschung und Anwendung von Ersatzmethoden für Tierversuche wollen wir fortführen. Wir haben in verschiedenen Bereichen Herausforderungen im Tierschutz (Wildtier- und Exotenhaltung, Qualzuchten, Tierbörsen, Internet und Versandhandel von lebenden Heimtieren, illegaler Welpenhandel, Situation der Tierheime und Heimtierzubehör). Das für Tierschutzfragen zuständige Ministerium wird bis zur Mitte der Legislaturperiode Vorschläge für konkrete Maßnahmen bis hin zu Verboten zur Verbesserung des Tierschutzes in diesen Bereichen vorlegen</w:t>
      </w:r>
      <w:bookmarkEnd w:id="29"/>
      <w:r>
        <w:rPr>
          <w:rFonts w:ascii="Arial" w:hAnsi="Arial" w:cs="Arial"/>
          <w:sz w:val="24"/>
          <w:szCs w:val="24"/>
        </w:rPr>
        <w:t>.</w:t>
      </w:r>
    </w:p>
    <w:p w:rsidR="007F452D" w:rsidRDefault="007F452D">
      <w:pPr>
        <w:spacing w:after="0" w:line="240" w:lineRule="auto"/>
        <w:contextualSpacing/>
        <w:jc w:val="both"/>
        <w:rPr>
          <w:rFonts w:ascii="Arial" w:hAnsi="Arial" w:cs="Arial"/>
          <w:sz w:val="24"/>
          <w:szCs w:val="24"/>
          <w:highlight w:val="yellow"/>
          <w:shd w:val="clear" w:color="auto" w:fill="FFFFFF"/>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shd w:val="clear" w:color="auto" w:fill="FFFFFF"/>
        </w:rPr>
        <w:t xml:space="preserve">Wir setzen den Weg der Reduzierung des Antibiotikaeinsatzes in der Tierhaltung im Sinne der „Deutschen Antibiotika-Resistenzstrategie“ (DART 2020) und des </w:t>
      </w:r>
      <w:r>
        <w:rPr>
          <w:rFonts w:ascii="Arial" w:hAnsi="Arial" w:cs="Arial"/>
          <w:sz w:val="24"/>
          <w:szCs w:val="24"/>
        </w:rPr>
        <w:t>One-Health-Ansatzes konsequent fort und nehmen gegebenenfalls Anpassungen auf Basis von europäischen Vorgaben und wissenschaftlicher Evaluation vor.</w:t>
      </w:r>
    </w:p>
    <w:p w:rsidR="007F452D" w:rsidRDefault="007F452D">
      <w:pPr>
        <w:spacing w:after="0" w:line="240" w:lineRule="auto"/>
        <w:contextualSpacing/>
        <w:jc w:val="both"/>
        <w:rPr>
          <w:rFonts w:ascii="Arial" w:hAnsi="Arial" w:cs="Arial"/>
          <w:sz w:val="24"/>
          <w:szCs w:val="24"/>
          <w:highlight w:val="yellow"/>
          <w:shd w:val="clear" w:color="auto" w:fill="FFFFFF"/>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uns auf europäischer Ebene dafür ein, dass die Tiertransportzeiten verkürzt werden und fordern die EU-Kommission auf, Lebendtiertransporte effektiver zu kontrollieren.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Einbrüche in Tierställe als Straftatbestand effektiv ahnden.</w:t>
      </w:r>
      <w:bookmarkStart w:id="30" w:name="_Hlk505269214"/>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Die Zuständigkeit für Angelegenheiten der Tierarzneimittel, einschließlich der Zulassung von Tierarzneimitteln führen wir zusammen.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rPr>
          <w:rFonts w:ascii="Arial" w:hAnsi="Arial" w:cs="Arial"/>
          <w:sz w:val="24"/>
          <w:szCs w:val="24"/>
        </w:rPr>
      </w:pPr>
      <w:r>
        <w:rPr>
          <w:rFonts w:ascii="Arial" w:hAnsi="Arial" w:cs="Arial"/>
          <w:sz w:val="24"/>
          <w:szCs w:val="24"/>
        </w:rPr>
        <w:t>Viele Infektionskrankheiten bedrohen die Tiergesundheit und können erhebliche wirtschaftliche Auswirkungen haben. Die diesbezügliche Forschung werden wir verstärken. Wir ergreifen die notwendigen Maßnahmen, um diese Krankheitserreger frühzeitig erkennen und bekämpfen zu können. Die Organisation der Tierseuchenvorsorge und -bekämpfung in Deutschland werden wir überprüfen und mit den Ländern optimieren.</w:t>
      </w:r>
    </w:p>
    <w:p w:rsidR="007F452D" w:rsidRDefault="007F452D">
      <w:pPr>
        <w:spacing w:after="0" w:line="240" w:lineRule="auto"/>
        <w:contextualSpacing/>
        <w:rPr>
          <w:rFonts w:ascii="Arial" w:hAnsi="Arial" w:cs="Arial"/>
          <w:sz w:val="24"/>
          <w:szCs w:val="24"/>
        </w:rPr>
      </w:pPr>
    </w:p>
    <w:bookmarkEnd w:id="30"/>
    <w:p w:rsidR="007F452D" w:rsidRDefault="006007DF">
      <w:pPr>
        <w:pStyle w:val="berschrift3"/>
        <w:contextualSpacing/>
        <w:rPr>
          <w:rFonts w:cs="Arial"/>
          <w:szCs w:val="24"/>
        </w:rPr>
      </w:pPr>
      <w:r>
        <w:rPr>
          <w:rFonts w:cs="Arial"/>
          <w:szCs w:val="24"/>
        </w:rPr>
        <w:t xml:space="preserve">Flächenschutz </w:t>
      </w:r>
    </w:p>
    <w:p w:rsidR="007F452D" w:rsidRDefault="006007DF">
      <w:pPr>
        <w:spacing w:after="0" w:line="240" w:lineRule="auto"/>
        <w:contextualSpacing/>
        <w:jc w:val="both"/>
        <w:rPr>
          <w:rFonts w:ascii="Arial" w:eastAsia="Times New Roman" w:hAnsi="Arial" w:cs="Arial"/>
          <w:sz w:val="24"/>
          <w:szCs w:val="24"/>
        </w:rPr>
      </w:pPr>
      <w:r>
        <w:rPr>
          <w:rFonts w:ascii="Arial" w:hAnsi="Arial" w:cs="Arial"/>
          <w:sz w:val="24"/>
          <w:szCs w:val="24"/>
        </w:rPr>
        <w:t>Unser Ziel ist, den Flächenverbrauch bis zum Jahr 2030 auf maximal 30 Hektar/Tag zu halbieren. Wir prüfen, mit welchen zusätzlichen planungsrechtlichen und ökonomischen Instrumenten das Ziel erreicht werden kann.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Bundesregierung unterstützt die Bundesländer bei der Novellierung bodenrechtlicher Vorgaben mit dem Ziel einer ausgewogenen Agrarstruktur und der Abwehr außerlandwirtschaftlicher Investitionen. In diesem Zusammenhang sind die Regelungen zur Vergabe der noch verbliebenen Flächen der Bodenverwertungs- und </w:t>
      </w:r>
      <w:r>
        <w:rPr>
          <w:rFonts w:ascii="Arial" w:hAnsi="Arial" w:cs="Arial"/>
          <w:sz w:val="24"/>
          <w:szCs w:val="24"/>
        </w:rPr>
        <w:br/>
        <w:t>-verwaltungs GmbH (BVVG) zu überarbeiten. Junglandwirtinnen und Junglandwirte sowie Existenzgründerinnen und Existenzgründer sind dabei besonders zu berücksichtigen.</w:t>
      </w:r>
    </w:p>
    <w:p w:rsidR="007F452D" w:rsidRDefault="007F452D">
      <w:pPr>
        <w:spacing w:after="0" w:line="240" w:lineRule="auto"/>
        <w:contextualSpacing/>
        <w:jc w:val="both"/>
        <w:rPr>
          <w:rFonts w:ascii="Arial" w:hAnsi="Arial" w:cs="Arial"/>
          <w:sz w:val="24"/>
          <w:szCs w:val="24"/>
          <w:highlight w:val="yellow"/>
        </w:rPr>
      </w:pPr>
    </w:p>
    <w:p w:rsidR="007F452D" w:rsidRDefault="006007DF">
      <w:pPr>
        <w:spacing w:after="0" w:line="240" w:lineRule="auto"/>
        <w:contextualSpacing/>
        <w:rPr>
          <w:rFonts w:ascii="Arial" w:hAnsi="Arial" w:cs="Arial"/>
          <w:sz w:val="24"/>
          <w:szCs w:val="24"/>
        </w:rPr>
      </w:pPr>
      <w:r>
        <w:rPr>
          <w:rFonts w:ascii="Arial" w:hAnsi="Arial" w:cs="Arial"/>
          <w:sz w:val="24"/>
          <w:szCs w:val="24"/>
        </w:rPr>
        <w:t>Wir prüfen die Grundlage für eine finanzielle Beteiligung betroffener Grundstückseigentümerinnen und -eigentümer an der Wertschöpfung des Netzausbaus, gegebenenfalls sind wiederkehrende Zahlungen eine Option.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Wald und Forstwirtschaft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multifunktionale Forstwirtschaft ist eine wichtige Landnutzungsform in Deutschland. Mit der Charta für Holz 2.0 wollen wir unsere auf Nachhaltigkeit und Wirtschaftlichkeit ausgerichtete Forstpolitik weiter ausbauen. Wir wollen die Waldstrategie 2020 als zentrale Leitlinie, ergänzt durch den Gedanken der Biodiversität, fortführen. Wir wollen ein Kompetenzzentrum für Wald und Holz im Geschäftsbereich des Bundesministeriums für Ernährung und Landwirtschaft (BMEL) einrichten. Im Rahmen aller Aktivitäten gegen die Klimaveränderungen muss die Forst- und Holzforschung zukünftig ein Schwerpunkt der öffentlichen Forschungsförderung sein. Gemeinsame internationale Aktivitäten sollen gefördert werden. </w:t>
      </w:r>
    </w:p>
    <w:p w:rsidR="007F452D" w:rsidRDefault="007F452D">
      <w:pPr>
        <w:spacing w:after="0" w:line="240" w:lineRule="auto"/>
        <w:contextualSpacing/>
        <w:rPr>
          <w:rFonts w:ascii="Arial" w:hAnsi="Arial" w:cs="Arial"/>
          <w:sz w:val="24"/>
          <w:szCs w:val="24"/>
          <w:highlight w:val="yellow"/>
        </w:rPr>
      </w:pPr>
    </w:p>
    <w:p w:rsidR="007F452D" w:rsidRDefault="006007DF">
      <w:pPr>
        <w:pStyle w:val="berschrift3"/>
        <w:contextualSpacing/>
        <w:rPr>
          <w:rFonts w:cs="Arial"/>
          <w:szCs w:val="24"/>
        </w:rPr>
      </w:pPr>
      <w:r>
        <w:rPr>
          <w:rFonts w:cs="Arial"/>
          <w:szCs w:val="24"/>
        </w:rPr>
        <w:t>Jagd</w:t>
      </w:r>
    </w:p>
    <w:p w:rsidR="007F452D" w:rsidRDefault="006007DF">
      <w:pPr>
        <w:spacing w:after="0" w:line="240" w:lineRule="auto"/>
        <w:contextualSpacing/>
        <w:jc w:val="both"/>
        <w:rPr>
          <w:rFonts w:ascii="Arial" w:hAnsi="Arial" w:cs="Arial"/>
          <w:sz w:val="24"/>
          <w:szCs w:val="24"/>
          <w:highlight w:val="yellow"/>
        </w:rPr>
      </w:pPr>
      <w:bookmarkStart w:id="31" w:name="_Hlk505254107"/>
      <w:r>
        <w:rPr>
          <w:rFonts w:ascii="Arial" w:hAnsi="Arial" w:cs="Arial"/>
          <w:sz w:val="24"/>
          <w:szCs w:val="24"/>
        </w:rPr>
        <w:t>Wir erkennen die Jagd als nachhaltige Nutzungsform an und wollen sie weiterhin stärken. Wir werden bundeseinheitliche Regelungen für eine Zertifizierung von Jagdmunition mit optimaler Tötungswirkung bei gleichzeitiger Bleiminimierung, einen Schießübungsnachweis, die Jäger- und Falknerausbildung sowie -prüfung schaffen</w:t>
      </w:r>
      <w:bookmarkEnd w:id="31"/>
      <w:r>
        <w:rPr>
          <w:rFonts w:ascii="Arial" w:hAnsi="Arial" w:cs="Arial"/>
          <w:sz w:val="24"/>
          <w:szCs w:val="24"/>
        </w:rPr>
        <w:t xml:space="preserve">. </w:t>
      </w:r>
    </w:p>
    <w:p w:rsidR="00BD70C6" w:rsidRDefault="00BD70C6">
      <w:pPr>
        <w:pStyle w:val="berschrift3"/>
        <w:contextualSpacing/>
        <w:rPr>
          <w:rFonts w:cs="Arial"/>
          <w:szCs w:val="24"/>
        </w:rPr>
      </w:pPr>
    </w:p>
    <w:p w:rsidR="007F452D" w:rsidRDefault="006007DF">
      <w:pPr>
        <w:pStyle w:val="berschrift3"/>
        <w:contextualSpacing/>
        <w:rPr>
          <w:rFonts w:cs="Arial"/>
          <w:szCs w:val="24"/>
        </w:rPr>
      </w:pPr>
      <w:r>
        <w:rPr>
          <w:rFonts w:cs="Arial"/>
          <w:szCs w:val="24"/>
        </w:rPr>
        <w:t>Weinbau</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Damit die deutsche Weinwirtschaft auch in Zukunft gut aufgestellt bleibt und die typischen deutschen Kulturlandschaften erhalten werden, setzen wir die Änderungen im europäischen Weinbezeichnungsrecht um. Vor dem Hintergrund des internationalen Wettbewerbs fördern wir die qualitätsorientierte Herkunftsprofilierung, den internationalen Schutz dieser Bezeichnungen und die nachhaltige Entwicklung im Weinbau, </w:t>
      </w:r>
      <w:r>
        <w:rPr>
          <w:rFonts w:ascii="Arial" w:hAnsi="Arial" w:cs="Arial"/>
          <w:sz w:val="24"/>
          <w:szCs w:val="24"/>
        </w:rPr>
        <w:lastRenderedPageBreak/>
        <w:t xml:space="preserve">insbesondere in Steil- und Steilstlagen. Die Ausweitung von Rebpflanzrechten soll weiterhin restriktiv gehandhabt werden. </w:t>
      </w:r>
    </w:p>
    <w:p w:rsidR="007F452D" w:rsidRDefault="007F452D">
      <w:pPr>
        <w:spacing w:after="0" w:line="240" w:lineRule="auto"/>
        <w:contextualSpacing/>
        <w:rPr>
          <w:rFonts w:ascii="Arial" w:hAnsi="Arial" w:cs="Arial"/>
          <w:sz w:val="24"/>
          <w:szCs w:val="24"/>
          <w:highlight w:val="yellow"/>
        </w:rPr>
      </w:pPr>
    </w:p>
    <w:p w:rsidR="007F452D" w:rsidRDefault="006007DF">
      <w:pPr>
        <w:pStyle w:val="berschrift3"/>
        <w:contextualSpacing/>
        <w:rPr>
          <w:rFonts w:cs="Arial"/>
          <w:szCs w:val="24"/>
        </w:rPr>
      </w:pPr>
      <w:r>
        <w:rPr>
          <w:rFonts w:cs="Arial"/>
          <w:szCs w:val="24"/>
        </w:rPr>
        <w:t>Gartenbau</w:t>
      </w:r>
    </w:p>
    <w:p w:rsidR="007F452D" w:rsidRDefault="006007DF">
      <w:pPr>
        <w:spacing w:after="0" w:line="240" w:lineRule="auto"/>
        <w:contextualSpacing/>
        <w:jc w:val="both"/>
        <w:rPr>
          <w:rFonts w:ascii="Arial" w:hAnsi="Arial" w:cs="Arial"/>
          <w:sz w:val="24"/>
          <w:szCs w:val="24"/>
        </w:rPr>
      </w:pPr>
      <w:bookmarkStart w:id="32" w:name="_Hlk505265332"/>
      <w:r>
        <w:rPr>
          <w:rFonts w:ascii="Arial" w:hAnsi="Arial" w:cs="Arial"/>
          <w:sz w:val="24"/>
          <w:szCs w:val="24"/>
        </w:rPr>
        <w:t>Wir stärken die Betriebe im Gartenbausektor, wollen das Bundesprogramm Energieeffizienz fortführen und erarbeiten eine Torfschutzstrategie mit dem Ziel, klimafreundliche Alternativen zur Minderung der Torfanteile zur Verfügung zu stellen.</w:t>
      </w:r>
    </w:p>
    <w:bookmarkEnd w:id="32"/>
    <w:p w:rsidR="007F452D" w:rsidRDefault="007F452D">
      <w:pPr>
        <w:spacing w:after="0" w:line="240" w:lineRule="auto"/>
        <w:contextualSpacing/>
        <w:rPr>
          <w:rFonts w:ascii="Arial" w:hAnsi="Arial" w:cs="Arial"/>
          <w:sz w:val="24"/>
          <w:szCs w:val="24"/>
        </w:rPr>
      </w:pPr>
    </w:p>
    <w:p w:rsidR="007F452D" w:rsidRDefault="006007DF">
      <w:pPr>
        <w:pStyle w:val="berschrift3"/>
        <w:contextualSpacing/>
        <w:rPr>
          <w:rFonts w:cs="Arial"/>
          <w:szCs w:val="24"/>
        </w:rPr>
      </w:pPr>
      <w:bookmarkStart w:id="33" w:name="_Hlk505242627"/>
      <w:r>
        <w:rPr>
          <w:rFonts w:cs="Arial"/>
          <w:szCs w:val="24"/>
        </w:rPr>
        <w:t>Fischerei, Angeln und Aquakultur</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auch nach dem Brexit eine nachhaltige Fischerei in der Nord- und Ostsee erhalten und legen besonderen Wert auf die Meeresumwelt und den Schutz der Bestände. Wir wollen die nachhaltige Fischerei auf dem Meer und im Binnenland sowie die Aquakultur in ihrer Wettbewerbsfähigkeit stärken und als moderne nachhaltige Nutzung voranbringen.</w:t>
      </w:r>
    </w:p>
    <w:bookmarkEnd w:id="33"/>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Weidetierhaltung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Weidetierhaltung ist aus ökologischen, kulturellen und sozialen Gründen sowie zum Erhalt der Artenvielfalt und Kulturlandschaft zu erhalten. Im Umgang mit dem Wolf hat die Sicherheit der Menschen oberste Priorität. Wir werden die EU-Kommission auffordern, den Schutzstatus des Wolfs abhängig von seinem Erhaltungszustand zu überprüfen, um die notwendige Bestandsreduktion herbeiführen zu können. Unabhängig davon wird der Bund mit den Ländern einen geeigneten Kriterien- und Maßnahmenkatalog zur Entnahme von Wölfen entwickeln. Dazu erarbeiten wir mit der Wissenschaft geeignete Kriterien für die letale Entnahme. Wir wollen, dass Wölfe, die Weidezäune überwunden haben oder für den Menschen gefährlich werden, entnommen werden. </w:t>
      </w:r>
    </w:p>
    <w:p w:rsidR="007F452D" w:rsidRDefault="007F452D">
      <w:pPr>
        <w:spacing w:after="0" w:line="240" w:lineRule="auto"/>
        <w:contextualSpacing/>
        <w:jc w:val="both"/>
        <w:rPr>
          <w:rFonts w:ascii="Arial" w:hAnsi="Arial" w:cs="Arial"/>
          <w:strike/>
          <w:sz w:val="24"/>
          <w:szCs w:val="24"/>
          <w:highlight w:val="green"/>
        </w:rPr>
      </w:pPr>
    </w:p>
    <w:p w:rsidR="007F452D" w:rsidRDefault="006007DF">
      <w:pPr>
        <w:pStyle w:val="berschrift3"/>
        <w:contextualSpacing/>
        <w:rPr>
          <w:rFonts w:cs="Arial"/>
          <w:szCs w:val="24"/>
        </w:rPr>
      </w:pPr>
      <w:r>
        <w:rPr>
          <w:rFonts w:cs="Arial"/>
          <w:szCs w:val="24"/>
        </w:rPr>
        <w:t>Bioenergie</w:t>
      </w:r>
    </w:p>
    <w:p w:rsidR="007F452D" w:rsidRDefault="006007DF">
      <w:pPr>
        <w:spacing w:after="0" w:line="240" w:lineRule="auto"/>
        <w:contextualSpacing/>
        <w:jc w:val="both"/>
        <w:rPr>
          <w:rFonts w:ascii="Arial" w:hAnsi="Arial" w:cs="Arial"/>
          <w:sz w:val="24"/>
          <w:szCs w:val="24"/>
          <w:highlight w:val="yellow"/>
        </w:rPr>
      </w:pPr>
      <w:r>
        <w:rPr>
          <w:rFonts w:ascii="Arial" w:hAnsi="Arial" w:cs="Arial"/>
          <w:sz w:val="24"/>
          <w:szCs w:val="24"/>
        </w:rPr>
        <w:t xml:space="preserve">Die Bioenergie trägt zur Erreichung der Klimaziele im Energie- und Verkehrssektor bei. Den Bestand von Bioenergieanlagen wollen wir im Zuge der Ausschreibungen weiterentwickeln. Die Reststoffverwertung werden wir verstärken und den Einsatz von Blühpflanzen erhöhen. </w:t>
      </w:r>
    </w:p>
    <w:p w:rsidR="007F452D" w:rsidRDefault="007F452D">
      <w:pPr>
        <w:spacing w:after="0" w:line="240" w:lineRule="auto"/>
        <w:contextualSpacing/>
        <w:rPr>
          <w:rFonts w:ascii="Arial" w:hAnsi="Arial" w:cs="Arial"/>
          <w:sz w:val="24"/>
          <w:szCs w:val="24"/>
          <w:highlight w:val="yellow"/>
        </w:rPr>
      </w:pPr>
    </w:p>
    <w:p w:rsidR="007F452D" w:rsidRDefault="006007DF">
      <w:pPr>
        <w:pStyle w:val="berschrift3"/>
        <w:contextualSpacing/>
        <w:rPr>
          <w:rStyle w:val="berschrift3Zchn"/>
          <w:rFonts w:cs="Arial"/>
          <w:b/>
          <w:szCs w:val="24"/>
        </w:rPr>
      </w:pPr>
      <w:r>
        <w:rPr>
          <w:rStyle w:val="berschrift3Zchn"/>
          <w:rFonts w:cs="Arial"/>
          <w:b/>
          <w:szCs w:val="24"/>
        </w:rPr>
        <w:t>Milch</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Milcherzeugung hat eine herausragende Bedeutung für die deutsche Landwirtschaft, vor allem mit Blick auf eine flächendeckende Grünlandbewirtschaftung. Wir wollen Maßnahmen und Instrumente entwickeln, um auf schwere Krisen auf dem Milchmarkt zukünftig besser vorbereitet zu sein. Insbesondere die Modernisierung der Lieferbeziehungen halten wir hier für einen wichtigen Schritt. </w:t>
      </w:r>
    </w:p>
    <w:p w:rsidR="007F452D" w:rsidRDefault="007F452D">
      <w:pPr>
        <w:spacing w:after="0" w:line="240" w:lineRule="auto"/>
        <w:contextualSpacing/>
        <w:rPr>
          <w:rFonts w:ascii="Arial" w:hAnsi="Arial" w:cs="Arial"/>
          <w:b/>
          <w:sz w:val="24"/>
          <w:szCs w:val="24"/>
          <w:highlight w:val="yellow"/>
        </w:rPr>
      </w:pPr>
    </w:p>
    <w:p w:rsidR="007F452D" w:rsidRDefault="006007DF">
      <w:pPr>
        <w:pStyle w:val="berschrift3"/>
        <w:contextualSpacing/>
        <w:rPr>
          <w:rFonts w:cs="Arial"/>
          <w:szCs w:val="24"/>
        </w:rPr>
      </w:pPr>
      <w:r>
        <w:rPr>
          <w:rFonts w:cs="Arial"/>
          <w:szCs w:val="24"/>
        </w:rPr>
        <w:t xml:space="preserve">Agrarsoziale Sicherung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bekennen uns zum eigenständigen agrarsozialen Sicherungssystem und wollen ein leistungsfähiges, bezahlbares System erhalten. </w:t>
      </w:r>
    </w:p>
    <w:p w:rsidR="00BD70C6" w:rsidRDefault="00BD70C6">
      <w:pPr>
        <w:spacing w:after="0" w:line="240" w:lineRule="auto"/>
        <w:contextualSpacing/>
        <w:jc w:val="both"/>
        <w:rPr>
          <w:rFonts w:ascii="Arial" w:hAnsi="Arial" w:cs="Arial"/>
          <w:b/>
          <w:sz w:val="24"/>
          <w:szCs w:val="24"/>
        </w:rPr>
      </w:pPr>
    </w:p>
    <w:p w:rsidR="007F452D" w:rsidRDefault="006007DF">
      <w:pPr>
        <w:pStyle w:val="berschrift3"/>
        <w:contextualSpacing/>
        <w:rPr>
          <w:rFonts w:cs="Arial"/>
          <w:szCs w:val="24"/>
        </w:rPr>
      </w:pPr>
      <w:r>
        <w:rPr>
          <w:rFonts w:cs="Arial"/>
          <w:szCs w:val="24"/>
        </w:rPr>
        <w:t>Internationaler Agrarhandel</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Etwa ein Drittel der Erzeugung der deutschen Landwirtschaft, des Garten- und Weinbaus wird exportiert. Wir wollen deshalb die Unterstützung insbesondere kleiner und mittlerer Unternehmen der Agrar- und Ernährungswirtschaft bei der Erschließung kaufkräftiger internationaler Märkte weiter ausbauen.</w:t>
      </w:r>
    </w:p>
    <w:p w:rsidR="007F452D" w:rsidRDefault="007F452D">
      <w:pPr>
        <w:spacing w:after="0" w:line="240" w:lineRule="auto"/>
        <w:contextualSpacing/>
        <w:jc w:val="both"/>
        <w:rPr>
          <w:rFonts w:ascii="Arial" w:hAnsi="Arial" w:cs="Arial"/>
          <w:b/>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Fairer Handel bedingt einen Ausgleich ökonomischer, ökologischer und sozialer Fragen. In Deutschland erzeugte landwirtschaftliche Produkte dürfen nicht zu Lasten der Entwicklungsländer produziert und exportiert werden. Wir wollen die internationale land- und ernährungswirtschaftliche Projekt- und Forschungszusammenarbeit sowie die Kooperation mit internationalen Organisationen, insbesondere mit der FAO und OIE, im Geschäftsbereich des Bundesministeriums für Ernährung und Landwirtschaft verstärken.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pPr>
      <w:r>
        <w:t>Ernährung und gesundheitlicher Verbraucherschutz</w:t>
      </w:r>
    </w:p>
    <w:p w:rsidR="007F452D" w:rsidRDefault="006007DF">
      <w:pPr>
        <w:pStyle w:val="NurText"/>
        <w:contextualSpacing/>
        <w:jc w:val="both"/>
        <w:rPr>
          <w:rFonts w:ascii="Arial" w:hAnsi="Arial" w:cs="Arial"/>
          <w:sz w:val="24"/>
          <w:szCs w:val="24"/>
        </w:rPr>
      </w:pPr>
      <w:r>
        <w:rPr>
          <w:rFonts w:ascii="Arial" w:hAnsi="Arial" w:cs="Arial"/>
          <w:sz w:val="24"/>
          <w:szCs w:val="24"/>
        </w:rPr>
        <w:t>Wir wollen vom Acker bis zum Teller einen gesundheitserhaltenden und nachhaltigen Lebensstil fördern, ernährungsmitbedingte Krankheiten bekämpfen und den gesundheitlichen Verbraucherschutz stärken. In Deutschland nehmen gesundheitliche Risiken wie Übergewicht, Fettleibigkeit und Herz-Kreislauf-Erkrankungen zu. Dies hat große negative Auswirkungen auf die Lebensqualität der Betroffenen und verursacht hohe Kosten für das Gesundheits- und Sozialsystem. Wir wollen die Wertschätzung für Lebensmittel in der Gesellschaft erhöhen. Lebensmittel haben ihren Wert und sollten nicht als Lockangebote verkauft werden. Wir wollen dazu beitragen, die Vielfalt von Erzeugern – insbesondere mit kleinen und mittleren Unternehmen – und hochwertigen Lebensmitteln zu erhalten und die Lebensmittelverschwendung einzudämmen. Neugründungen im Lebensmittelbereich werden wir unterstützend begleiten. Der Ernährungsbildung messen wir großen Wert bei.</w:t>
      </w:r>
    </w:p>
    <w:p w:rsidR="007F452D" w:rsidRDefault="007F452D">
      <w:pPr>
        <w:pStyle w:val="NurText"/>
        <w:contextualSpacing/>
        <w:jc w:val="both"/>
        <w:rPr>
          <w:rFonts w:ascii="Arial" w:hAnsi="Arial" w:cs="Arial"/>
          <w:b/>
          <w:sz w:val="24"/>
          <w:szCs w:val="24"/>
        </w:rPr>
      </w:pPr>
    </w:p>
    <w:p w:rsidR="007F452D" w:rsidRDefault="006007DF">
      <w:pPr>
        <w:pStyle w:val="berschrift3"/>
        <w:contextualSpacing/>
        <w:rPr>
          <w:rStyle w:val="berschrift3Zchn"/>
          <w:rFonts w:cs="Arial"/>
          <w:b/>
          <w:szCs w:val="24"/>
        </w:rPr>
      </w:pPr>
      <w:r>
        <w:rPr>
          <w:rStyle w:val="berschrift3Zchn"/>
          <w:rFonts w:cs="Arial"/>
          <w:b/>
          <w:szCs w:val="24"/>
        </w:rPr>
        <w:t xml:space="preserve">Gesunde Ernährung </w:t>
      </w:r>
    </w:p>
    <w:p w:rsidR="007F452D" w:rsidRDefault="006007DF">
      <w:pPr>
        <w:pStyle w:val="NurText"/>
        <w:contextualSpacing/>
        <w:jc w:val="both"/>
        <w:rPr>
          <w:rFonts w:ascii="Arial" w:hAnsi="Arial" w:cs="Arial"/>
          <w:sz w:val="24"/>
          <w:szCs w:val="24"/>
        </w:rPr>
      </w:pPr>
      <w:r>
        <w:rPr>
          <w:rFonts w:ascii="Arial" w:hAnsi="Arial" w:cs="Arial"/>
          <w:sz w:val="24"/>
          <w:szCs w:val="24"/>
        </w:rPr>
        <w:t>Der bewährte Aktionsplan „In FORM“ soll auf Grundlage der laufenden Evaluierung mit dem Fokus auf die ersten 1000 Tage im Leben und die besonderen Bedürfnisse von Kindern sowie Seniorinnen und Senioren weiterentwickelt werden.</w:t>
      </w:r>
    </w:p>
    <w:p w:rsidR="007F452D" w:rsidRDefault="007F452D">
      <w:pPr>
        <w:pStyle w:val="NurText"/>
        <w:contextualSpacing/>
        <w:jc w:val="both"/>
        <w:rPr>
          <w:rFonts w:ascii="Arial" w:hAnsi="Arial" w:cs="Arial"/>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Für die Nationale Reduktionsstrategie für Zucker, Fett und Salz in Fertigprodukten werden wir 2018 gemeinsam mit den Beteiligten ein Konzept erarbeiten, und dies mit wissenschaftlich fundierten, verbindlichen Zielmarken und einem konkreten Zeitplan versehen. Gemeinsam mit dem Lebensmittelhandwerk werden wir die Möglichkeiten einer praktikablen Umsetzung in diesem Bereich gewährleisten. Wir werden dabei gerade die Belange handwerklicher Betriebe im Blick haben.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Transparenz und Information für Verbraucherinnen und Verbraucher soll durch eine verständliche und vergleichbare Lebensmittelkennzeichnung gewährleistet werden, um eine ausgewogene Ernährung zu erleichtern. Wir werden das Nährwertkennzeichnungssystem für verarbeitete und verpackte Lebensmittel weiterentwickeln, indem das Verhältnis zur Referenzzahl </w:t>
      </w:r>
      <w:r>
        <w:rPr>
          <w:rFonts w:ascii="Arial" w:hAnsi="Arial" w:cs="Arial"/>
          <w:sz w:val="24"/>
          <w:szCs w:val="24"/>
        </w:rPr>
        <w:t>gegebenenfalls</w:t>
      </w:r>
      <w:r>
        <w:rPr>
          <w:rFonts w:ascii="Arial" w:hAnsi="Arial" w:cs="Arial"/>
          <w:color w:val="auto"/>
          <w:sz w:val="24"/>
          <w:szCs w:val="24"/>
        </w:rPr>
        <w:t xml:space="preserve"> vereinfacht visualisiert wird. Wir lehnen uns dabei an bereits bestehende Systeme an. Dazu werden wir Erkenntnisse aus dem Bericht der EU-Kommission zur Evaluierung bestehender freiwilliger Kennzeichnungssysteme und deren Wirkungen berücksichtigen. Wir werden darauf basierend ein Modell in Zusammenarbeit mit Lebensmittel- und Verbraucherverbänden unter Berücksichtigung der besonderen Interessen der kleinen und mittleren Unternehmen bis zum Sommer 2019 erarbeiten und unter Beachtung der EU-rechtlichen Situation einführen.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Soweit die EU-Kommission im Rahmen ihres REFIT-Programms Nährwertprofile vorlegen sollte, müssen diese traditionelle Lebensmittel und Ernährungsgewohnheiten der Bevölkerung hinreichend berücksichtigen.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lastRenderedPageBreak/>
        <w:t>Wir streben auf europäischer Ebene rechtlich verbindliche Kriterien für die Kennzeichnung von vegetarischen und veganen Lebensmitteln an.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Bestehende Herkunftskennzeichnungen und das Regionalfenster sollen evaluiert und EU-Rechts-kompatibel weiterentwickelt und </w:t>
      </w:r>
      <w:r>
        <w:rPr>
          <w:rFonts w:ascii="Arial" w:hAnsi="Arial" w:cs="Arial"/>
          <w:sz w:val="24"/>
          <w:szCs w:val="24"/>
        </w:rPr>
        <w:t>gegebenenfalls</w:t>
      </w:r>
      <w:r>
        <w:rPr>
          <w:rFonts w:ascii="Arial" w:hAnsi="Arial" w:cs="Arial"/>
          <w:color w:val="auto"/>
          <w:sz w:val="24"/>
          <w:szCs w:val="24"/>
        </w:rPr>
        <w:t xml:space="preserve"> ergänzt werden. Es wird geprüft, inwieweit die Herkunftskennzeichnung im Lichte der EU-Entscheidung auf alle verarbeiteten tierischen Produkte ausgeweitet werden kann.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Der Bund unterstützt die Länder, damit die Standards der Deutschen Gesellschaft für Ernährung (DGE) als Mindeststandards flächendeckend in Schulen, Kitas und in der Gemeinschaftsverpflegung eingeführt werden.</w:t>
      </w:r>
      <w:r>
        <w:rPr>
          <w:rFonts w:ascii="Arial" w:hAnsi="Arial" w:cs="Arial"/>
          <w:b/>
          <w:color w:val="auto"/>
          <w:sz w:val="24"/>
          <w:szCs w:val="24"/>
        </w:rPr>
        <w:t xml:space="preserve"> </w:t>
      </w:r>
      <w:r>
        <w:rPr>
          <w:rFonts w:ascii="Arial" w:hAnsi="Arial" w:cs="Arial"/>
          <w:color w:val="auto"/>
          <w:sz w:val="24"/>
          <w:szCs w:val="24"/>
        </w:rPr>
        <w:t>Dies erfolgt über die stärkere Unterstützung der Schulvernetzungsstellen und den Ausbau des „Nationalen Qualitäts-zentrums für Ernährung in Kita und Schule“ (NQZ).</w:t>
      </w:r>
    </w:p>
    <w:p w:rsidR="007F452D" w:rsidRDefault="007F452D">
      <w:pPr>
        <w:pStyle w:val="NurText"/>
        <w:contextualSpacing/>
        <w:jc w:val="both"/>
        <w:rPr>
          <w:rFonts w:ascii="Arial" w:hAnsi="Arial" w:cs="Arial"/>
          <w:strike/>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Die Reduzierung der Lebensmittelverschwendung werden wir gezielt weiterverfolgen und dabei die gesamte Wertschöpfungskette einbeziehen. Für die Reduzierung vermeidbarer Lebensmittelabfälle in der Lebensmittelwirtschaft werden wir mit den Beteiligten Zielmarken vereinbaren. Die Initiative „Zu gut für die Tonne“ wird mit den Ländern zu einer nationalen Strategie weiterentwickelt. Wir werden das Mindesthaltbarkeitsdatum überprüfen, um die Verschwendung von Lebensmitteln zu vermeiden. Wir fördern auch die Einführung intelligenter Verpackungen.</w:t>
      </w:r>
    </w:p>
    <w:p w:rsidR="007F452D" w:rsidRDefault="007F452D">
      <w:pPr>
        <w:pStyle w:val="NurText"/>
        <w:contextualSpacing/>
        <w:jc w:val="both"/>
        <w:rPr>
          <w:rStyle w:val="berschrift3Zchn"/>
          <w:rFonts w:cs="Arial"/>
          <w:szCs w:val="24"/>
        </w:rPr>
      </w:pPr>
    </w:p>
    <w:p w:rsidR="007F452D" w:rsidRDefault="006007DF">
      <w:pPr>
        <w:pStyle w:val="berschrift3"/>
        <w:contextualSpacing/>
        <w:rPr>
          <w:rStyle w:val="berschrift3Zchn"/>
          <w:rFonts w:cs="Arial"/>
          <w:b/>
          <w:szCs w:val="24"/>
        </w:rPr>
      </w:pPr>
      <w:r>
        <w:rPr>
          <w:rStyle w:val="berschrift3Zchn"/>
          <w:rFonts w:cs="Arial"/>
          <w:b/>
          <w:szCs w:val="24"/>
        </w:rPr>
        <w:t>Lebensmittelsicherheit</w:t>
      </w:r>
    </w:p>
    <w:p w:rsidR="007F452D" w:rsidRDefault="006007DF">
      <w:pPr>
        <w:pStyle w:val="NurText"/>
        <w:contextualSpacing/>
        <w:jc w:val="both"/>
        <w:rPr>
          <w:rFonts w:ascii="Arial" w:hAnsi="Arial" w:cs="Arial"/>
          <w:sz w:val="24"/>
          <w:szCs w:val="24"/>
        </w:rPr>
      </w:pPr>
      <w:r>
        <w:rPr>
          <w:rFonts w:ascii="Arial" w:hAnsi="Arial" w:cs="Arial"/>
          <w:sz w:val="24"/>
          <w:szCs w:val="24"/>
        </w:rPr>
        <w:t>Wir streben nach dem zu erwartenden Urteil des Bundesverfassungsgerichtes zur Normenkontrollklage eine rechtssichere Veröffentlichung von festgestellten Verstößen gegen die Lebensmittelsicherheit im Sinn von § 40 Abs. 1a Lebensmittel- und Futtermittelgesetzbuch (LFGB) auf Grundlage eines einheitlichen Bußgeldkataloges an.</w:t>
      </w:r>
    </w:p>
    <w:p w:rsidR="007F452D" w:rsidRDefault="007F452D">
      <w:pPr>
        <w:pStyle w:val="NurText"/>
        <w:contextualSpacing/>
        <w:jc w:val="both"/>
        <w:rPr>
          <w:rFonts w:ascii="Arial" w:hAnsi="Arial" w:cs="Arial"/>
          <w:b/>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Wir werden eine Regelung schaffen, die eine übersichtliche und eindeutige Verbraucherinformation zu Hygiene und Lebensmittelsicherheit gewährleistet und den Betrieben auf freiwilliger Basis die Möglichkeit bietet, die Kontrollergebnisse darzustellen.</w:t>
      </w:r>
      <w:bookmarkStart w:id="34" w:name="_Hlk505263968"/>
      <w:r>
        <w:rPr>
          <w:rFonts w:ascii="Arial" w:hAnsi="Arial" w:cs="Arial"/>
          <w:color w:val="auto"/>
          <w:sz w:val="24"/>
          <w:szCs w:val="24"/>
        </w:rPr>
        <w:t xml:space="preserve"> Gleichzeitig wird im Rahmen der Änderung des LFGB klargestellt, dass in Bezug auf die Veröffentlichung von Ergebnissen der amtlichen Lebensmittelkontrollen Raum für landesrechtliche Regelungen bleibt.</w:t>
      </w:r>
    </w:p>
    <w:bookmarkEnd w:id="34"/>
    <w:p w:rsidR="007F452D" w:rsidRDefault="007F452D">
      <w:pPr>
        <w:pStyle w:val="Text"/>
        <w:contextualSpacing/>
        <w:jc w:val="both"/>
        <w:rPr>
          <w:rFonts w:ascii="Arial" w:hAnsi="Arial" w:cs="Arial"/>
          <w:strike/>
          <w:color w:val="auto"/>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überprüfen auf Basis des Gutachtens des Beauftragten für die Wirtschaftlichkeit in der Verwaltung („Engels-Gutachten“) die Organisation des gesundheitlichen Verbraucherschutzes von Bund und Ländern mit dem Ziel, Schwachstellen zu beseitigen. Die Befugnisse der Lebensmittelkontrolleure müssen an den Internethandel mit Lebensmitteln angeglichen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Den Prozess der Vernetzung der Länderkontrollinstanzen mit dem Bund setzen wir fort, damit die Entwicklung einheitlicher Standards, einer sachgerechten Kontrolldichte sowie die schnelle Reaktion im Krisenfall weiter verbessert werden kann. Die Plattform </w:t>
      </w:r>
      <w:hyperlink r:id="rId11" w:history="1">
        <w:r>
          <w:rPr>
            <w:rStyle w:val="Hyperlink"/>
            <w:rFonts w:ascii="Arial" w:hAnsi="Arial" w:cs="Arial"/>
            <w:color w:val="auto"/>
            <w:sz w:val="24"/>
            <w:szCs w:val="24"/>
            <w:u w:val="none"/>
          </w:rPr>
          <w:t>www.lebensmittelwarnung.de</w:t>
        </w:r>
      </w:hyperlink>
      <w:r>
        <w:rPr>
          <w:rFonts w:ascii="Arial" w:hAnsi="Arial" w:cs="Arial"/>
          <w:sz w:val="24"/>
          <w:szCs w:val="24"/>
        </w:rPr>
        <w:t xml:space="preserve"> wird im Zusammenwirken mit den Ländern verbraucherfreundlich überarbeitet.</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Style w:val="berschrift3Zchn"/>
          <w:rFonts w:cs="Arial"/>
          <w:b/>
          <w:szCs w:val="24"/>
        </w:rPr>
      </w:pPr>
      <w:r>
        <w:rPr>
          <w:rStyle w:val="berschrift3Zchn"/>
          <w:rFonts w:cs="Arial"/>
          <w:b/>
          <w:szCs w:val="24"/>
        </w:rPr>
        <w:t>Werbung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An Kinder gerichtete Werbung bedarf der kritischen Beobachtung. Wir unterstützen die EU-Kommission bei der Umsetzung der „Audiovisuellen Mediendienst Richtlinie“, </w:t>
      </w:r>
      <w:r>
        <w:rPr>
          <w:rFonts w:ascii="Arial" w:hAnsi="Arial" w:cs="Arial"/>
          <w:sz w:val="24"/>
          <w:szCs w:val="24"/>
        </w:rPr>
        <w:lastRenderedPageBreak/>
        <w:t>damit auf europäischer Ebene Verhaltensregeln umgesetzt werden, die einen verantwortlichen Umgang der Wirtschaft mit an Kinder gerichteter Werbung beinhalten.</w:t>
      </w:r>
    </w:p>
    <w:p w:rsidR="007F452D" w:rsidRDefault="007F452D">
      <w:pPr>
        <w:spacing w:after="0" w:line="240" w:lineRule="auto"/>
        <w:contextualSpacing/>
        <w:jc w:val="both"/>
        <w:rPr>
          <w:rFonts w:ascii="Arial" w:hAnsi="Arial" w:cs="Arial"/>
          <w:strike/>
          <w:sz w:val="24"/>
          <w:szCs w:val="24"/>
        </w:rPr>
      </w:pPr>
    </w:p>
    <w:p w:rsidR="007F452D" w:rsidRDefault="006007DF">
      <w:pPr>
        <w:pStyle w:val="berschrift3"/>
        <w:contextualSpacing/>
        <w:rPr>
          <w:rStyle w:val="berschrift3Zchn"/>
          <w:rFonts w:cs="Arial"/>
          <w:b/>
          <w:szCs w:val="24"/>
        </w:rPr>
      </w:pPr>
      <w:r>
        <w:rPr>
          <w:rStyle w:val="berschrift3Zchn"/>
          <w:rFonts w:cs="Arial"/>
          <w:b/>
          <w:szCs w:val="24"/>
        </w:rPr>
        <w:t>Forschung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eine Bündelung und Verstärkung der Forschungsaktivitäten im Bereich gesunde Ernährung. Zur Stärkung des Verbraucherschutzes bei Vergiftungen richten wir beim Bundesinstitut für Risikobewertung ein nationales Vergiftungsregister ein.</w:t>
      </w:r>
    </w:p>
    <w:p w:rsidR="007F452D" w:rsidRDefault="007F452D">
      <w:pPr>
        <w:spacing w:after="0" w:line="240" w:lineRule="auto"/>
        <w:contextualSpacing/>
        <w:jc w:val="both"/>
        <w:rPr>
          <w:rFonts w:ascii="Arial" w:hAnsi="Arial" w:cs="Arial"/>
          <w:b/>
          <w:sz w:val="24"/>
          <w:szCs w:val="24"/>
        </w:rPr>
      </w:pPr>
    </w:p>
    <w:p w:rsidR="00BD70C6" w:rsidRDefault="006007DF" w:rsidP="00F709A3">
      <w:pPr>
        <w:pStyle w:val="NurText"/>
        <w:contextualSpacing/>
        <w:jc w:val="both"/>
        <w:rPr>
          <w:rFonts w:ascii="Arial" w:eastAsiaTheme="majorEastAsia" w:hAnsi="Arial" w:cs="Arial"/>
          <w:b/>
          <w:bCs/>
          <w:sz w:val="24"/>
          <w:szCs w:val="24"/>
        </w:rPr>
      </w:pPr>
      <w:r>
        <w:rPr>
          <w:rFonts w:ascii="Arial" w:hAnsi="Arial" w:cs="Arial"/>
          <w:sz w:val="24"/>
          <w:szCs w:val="24"/>
        </w:rPr>
        <w:t>Das Nationale Referenzzentrum für die Echtheit und Integrität der Lebensmittelkette wollen wir planmäßig ausbauen.</w:t>
      </w:r>
      <w:bookmarkStart w:id="35" w:name="_Toc505767162"/>
      <w:r w:rsidR="00BD70C6">
        <w:br w:type="page"/>
      </w:r>
    </w:p>
    <w:p w:rsidR="007F452D" w:rsidRDefault="006007DF">
      <w:pPr>
        <w:pStyle w:val="berschrift1"/>
        <w:numPr>
          <w:ilvl w:val="0"/>
          <w:numId w:val="8"/>
        </w:numPr>
        <w:ind w:left="426" w:hanging="142"/>
        <w:contextualSpacing/>
      </w:pPr>
      <w:r>
        <w:lastRenderedPageBreak/>
        <w:t>Soziale Sicherheit gerecht und verlässlich gestalten</w:t>
      </w:r>
      <w:bookmarkEnd w:id="35"/>
    </w:p>
    <w:p w:rsidR="007F452D" w:rsidRDefault="007F452D">
      <w:pPr>
        <w:pStyle w:val="Listenabsatz"/>
        <w:autoSpaceDE w:val="0"/>
        <w:autoSpaceDN w:val="0"/>
        <w:adjustRightInd w:val="0"/>
        <w:spacing w:after="0" w:line="240" w:lineRule="auto"/>
        <w:ind w:left="426" w:hanging="426"/>
        <w:jc w:val="both"/>
        <w:rPr>
          <w:rFonts w:ascii="Arial" w:hAnsi="Arial" w:cs="Arial"/>
          <w:bCs/>
          <w:i/>
          <w:sz w:val="24"/>
          <w:szCs w:val="24"/>
        </w:rPr>
      </w:pPr>
    </w:p>
    <w:p w:rsidR="007F452D" w:rsidRDefault="006007DF">
      <w:pPr>
        <w:pStyle w:val="berschrift2"/>
        <w:numPr>
          <w:ilvl w:val="1"/>
          <w:numId w:val="12"/>
        </w:numPr>
        <w:contextualSpacing/>
        <w:rPr>
          <w:szCs w:val="24"/>
        </w:rPr>
      </w:pPr>
      <w:bookmarkStart w:id="36" w:name="_Toc505767163"/>
      <w:r>
        <w:rPr>
          <w:szCs w:val="24"/>
        </w:rPr>
        <w:t>Rente</w:t>
      </w:r>
      <w:bookmarkEnd w:id="36"/>
    </w:p>
    <w:p w:rsidR="007F452D" w:rsidRDefault="006007DF">
      <w:pPr>
        <w:spacing w:after="0" w:line="240" w:lineRule="auto"/>
        <w:contextualSpacing/>
        <w:jc w:val="both"/>
        <w:rPr>
          <w:rFonts w:ascii="Arial" w:hAnsi="Arial" w:cs="Arial"/>
          <w:sz w:val="24"/>
          <w:szCs w:val="24"/>
        </w:rPr>
      </w:pPr>
      <w:bookmarkStart w:id="37" w:name="_Hlk505072463"/>
      <w:bookmarkStart w:id="38" w:name="_Hlk505082671"/>
      <w:r>
        <w:rPr>
          <w:rFonts w:ascii="Arial" w:hAnsi="Arial" w:cs="Arial"/>
          <w:sz w:val="24"/>
          <w:szCs w:val="24"/>
        </w:rPr>
        <w:t xml:space="preserve">Die Rente muss für alle Generationen gerecht und zuverlässig sein. Dazu gehören die Anerkennung der Lebensleistung und ein wirksamer Schutz vor Altersarmut.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Vertrauen in die langfristige Stabilität der gesetzlichen Rentenversicherung ist ein hohes Gut in unserem Sozialstaat. Deshalb werden wir die gesetzliche Rente auf heutigem Niveau von 48 Prozent bis zum Jahr 2025 absichern und bei Bedarf durch Steuermittel sicherstellen, dass der Beitragssatz nicht über 20 Prozent steigen wird. Für die Sicherung des Niveaus bei 48 Prozent werden wir in 2018 die Rentenformel ändern und parallel dazu eine Rentenkommission „Verlässlicher Generationenvertrag“ einrichten, die sich mit den Herausforderungen der nachhaltigen Sicherung und Fortentwicklung der gesetzlichen Rentenversicherung und der beiden weiteren Rentensäulen ab dem Jahr 2025 befassen wird. Sie soll eine Empfehlung für einen verlässlichen Generationenvertrag vorlegen. Dabei streben wir eine doppelte Haltelinie an, die Beiträge und Niveau langfristig absichert. Die Rentenkommission soll ihren Bericht bis März 2020 vorlegen. Ihr sollen Vertreter der Sozialpartner, der Politik und der Wissenschaft angehören. Die Rentenkommission soll die Stellschrauben der Rentenversicherung in ein langfristiges Gleichgewicht bringen sowie einen Vorschlag unterbreiten, welche Mindestrücklage erforderlich ist, um die ganzjährige Liquidität der gesetzlichen Rentenversicherung zu sichern.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Lebensleistung von Menschen, die jahrzehntelang gearbeitet, Kinder erzogen und Angehörige gepflegt haben, soll honoriert und ihnen ein regelmäßiges Alterseinkommen zehn Prozent oberhalb des Grundsicherungsbedarfs zugesichert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Grundrente gilt für bestehende und zukünftige Grundsicherungsbezieher, die 35 Jahre an Beitragszeiten oder Zeiten der Kindererziehung bzw. Pflegezeiten aufweisen. Voraussetzung für den Bezug der Grundrente ist eine Bedürftigkeitsprüfung entsprechend der Grundsicherung.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Abwicklung der Grundrente erfolgt durch die Rentenversicherung. Bei der Bedürftigkeitsprüfung arbeitet die Rentenversicherung mit den Grundsicherungsämtern zusammen.</w:t>
      </w:r>
    </w:p>
    <w:p w:rsidR="007F452D" w:rsidRDefault="007F452D">
      <w:pPr>
        <w:spacing w:after="0" w:line="240" w:lineRule="auto"/>
        <w:contextualSpacing/>
        <w:jc w:val="both"/>
        <w:rPr>
          <w:rFonts w:ascii="Arial" w:hAnsi="Arial" w:cs="Arial"/>
          <w:sz w:val="24"/>
          <w:szCs w:val="24"/>
          <w:highlight w:val="yellow"/>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dass der Bezug sozialer staatlicher Leistungen und der neu geschaffenen Grundrente nicht dazu führt, dass selbstgenutztes Wohneigentum aufgegeben werden muss. Dazu werden wir die gesetzlichen Regelungen zur Vermögensverwertung und zum Schonvermögen in der Sozialhilfe und der Grundsicherung für Arbeitsuchende überarbeiten, angleichen und so ändern, dass Bezieher sozialer staatlicher Leistungen in ihrem Wohneigentum wohnen bleiben können.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diejenigen besser absichern, die aufgrund von Krankheit ihrer Erwerbstätigkeit nicht mehr nachgehen können. Wir wollen die Anhebung der Zurechnungszeiten beschleunigen, indem wir das jetzt vorgesehene Alter von 62 Jahren und drei Monaten in einem Schritt auf 65 Jahre und acht Monate anheben. Danach wird die Zurechnungszeit in weiteren Monatsschritten entsprechend der Anhebung der Regelaltersgrenze auf das Alter 67 angehoben.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halten am Drei-Säulen-Modell fest und wollen in diesem Rahmen die private Altersvorsorge weiterentwickeln und gerechter gestalten. Es ist ein Dialogprozess mit der Versicherungswirtschaft anzustoßen mit dem Ziel einer zügigen Entwicklung eines attraktiven standardisierten Riester-Produkts.</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eine säulenübergreifende Renteninformation einführen, mit der Bürgerinnen und Bürger über ihre individuelle Absicherung im Alter Informationen aus allen drei Säulen erhalten und möglichen Handlungsbedarf erkennen können. Die säulenübergreifende Renteninformation soll unter Aufsicht des Bundes stehen.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Möglichkeiten und Anreize zum freiwilligen längeren Arbeiten und damit auch das Angebot der „Flexi-Rente“ nachhaltig gestalten.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Um den sozialen Schutz von Selbstständigen zu verbessern, wollen wir eine gründerfreundlich ausgestaltete Altersvorsorgepflicht für alle Selbstständigen einführen, die nicht bereits anderweitig obligatorisch (z. B. in berufsständischen Versorgungswerken) abgesichert sind. Grundsätzlich sollen Selbstständige zwischen der gesetzlichen Rentenversicherung und – als Opt-out-Lösung – anderen geeigneten insolvenzsicheren Vorsorgearten wählen können, wobei diese insolvenz- und pfändungssicher sein und in der Regel zu einer Rente oberhalb des Grundsicherungsniveaus führen müssen. Zudem werden wir die Mindestkrankenversicherungsbeiträge für kleine Selbstständige reduzieren. Die Renten- und Krankenversicherungsbeiträge sollen gründerfreundlich ausgestaltet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Mit dem zweiten Kindererziehungsjahr in der Rente für Geburten vor 1992 haben wir einen ersten Schritt getan. Wir wollen die Gerechtigkeitslücke schließen: Mütter und Väter, die vor 1992 geborene Kinder erzogen haben, sollen künftig auch das dritte Jahr Erziehungszeit in der Rente angerechnet bekommen. Wir wollen die „Mütterrente II“ einführen. Das ist ein wichtiger Baustein zur Bekämpfung von Altersarmut. Diese Verbesserungen bei der Mütterrente durch einen 3. Entgeltpunkt pro Kind sollen für Mütter und Väter gelten, die drei und mehr Kinder erzogen haben.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Zur Sicherung der bundesweiten Versorgung mit Presseerzeugnissen für alle Haushalte – in Stadt und Land gleichermaßen – wird bei Minijobs von Zeitungszustellerinnen und Zeitungszustellern der Beitrag zur Rentenversicherung, den die Arbeitgeberinnen und Arbeitgeber zu tragen haben, befristet für die Dauer von fünf Jahren bis zum 31. Dezember 2022, von 15 auf 5 Prozent abgesenkt.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schrittweise einen höheren Anteil bei den Erstattungen an die Rentenversicherung für die Ansprüche aus den Sonder- und Zusatzversorgungssystemen der ehemaligen DDR übernehmen und damit die ostdeutschen Bundesländer entlasten (AAÜG).</w:t>
      </w:r>
    </w:p>
    <w:bookmarkEnd w:id="37"/>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Rehabilitation in der Rentenversicherung weiter stärken und die in der vergangenen Legislaturperiode eingeführten Verbesserungen weiterentwickeln.</w:t>
      </w:r>
    </w:p>
    <w:p w:rsidR="007F452D" w:rsidRDefault="007F452D">
      <w:pPr>
        <w:spacing w:after="0" w:line="240" w:lineRule="auto"/>
        <w:contextualSpacing/>
        <w:jc w:val="both"/>
        <w:rPr>
          <w:rFonts w:ascii="Arial" w:hAnsi="Arial" w:cs="Arial"/>
          <w:sz w:val="24"/>
          <w:szCs w:val="24"/>
        </w:rPr>
      </w:pPr>
    </w:p>
    <w:bookmarkEnd w:id="38"/>
    <w:p w:rsidR="007F452D" w:rsidRDefault="006007DF">
      <w:pPr>
        <w:spacing w:after="0" w:line="240" w:lineRule="auto"/>
        <w:contextualSpacing/>
        <w:jc w:val="both"/>
        <w:rPr>
          <w:rFonts w:ascii="Arial" w:hAnsi="Arial" w:cs="Arial"/>
          <w:sz w:val="24"/>
          <w:szCs w:val="24"/>
        </w:rPr>
      </w:pPr>
      <w:r>
        <w:rPr>
          <w:rFonts w:ascii="Arial" w:hAnsi="Arial" w:cs="Arial"/>
          <w:sz w:val="24"/>
          <w:szCs w:val="24"/>
        </w:rPr>
        <w:t>Für Härtefälle in der Grundsicherung im Rentenüberleitungsprozess wollen wir einen Ausgleich durch eine Fondslösung schaffen. Entsprechendes wollen wir auch für die Gruppe der Spätaussiedler und der jüdischen Kontingentflüchtlinge prüfen.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2"/>
        </w:numPr>
        <w:contextualSpacing/>
        <w:rPr>
          <w:szCs w:val="24"/>
        </w:rPr>
      </w:pPr>
      <w:bookmarkStart w:id="39" w:name="_Toc505767164"/>
      <w:r>
        <w:rPr>
          <w:szCs w:val="24"/>
        </w:rPr>
        <w:lastRenderedPageBreak/>
        <w:t>Teilhabe von Menschen mit Behinderungen</w:t>
      </w:r>
      <w:bookmarkEnd w:id="39"/>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Menschen mit Behinderungen haben einen Anspruch auf gleichberechtigte Teilhabe in allen Bereichen unserer Gesellschaft. Mit dem Bundesteilhabegesetz haben wir einen wichtigen Schritt zur Umsetzung der UN-Behindertenrechtskonvention getan. Seine Umsetzung werden wir in den kommenden Jahren intensiv begleiten und gleichzeitig die Teilhabe weiter fördern.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Teilhabe an Arbeit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prüfen die Einführung eines </w:t>
      </w:r>
      <w:r>
        <w:rPr>
          <w:rFonts w:ascii="Arial" w:hAnsi="Arial" w:cs="Arial"/>
          <w:bCs/>
          <w:sz w:val="24"/>
          <w:szCs w:val="24"/>
        </w:rPr>
        <w:t>Budgets für Ausbildung.</w:t>
      </w:r>
      <w:r>
        <w:rPr>
          <w:rFonts w:ascii="Arial" w:hAnsi="Arial" w:cs="Arial"/>
          <w:sz w:val="24"/>
          <w:szCs w:val="24"/>
        </w:rPr>
        <w:t xml:space="preserve"> Wir wollen zudem die Assistierte Ausbildung um zwei Jahre verlängern und weiterentwickeln. Darüber hinaus wollen wir gemeinsam mit den Akteuren der Arbeitsmarktpolitik klären, wie </w:t>
      </w:r>
      <w:r>
        <w:rPr>
          <w:rFonts w:ascii="Arial" w:hAnsi="Arial" w:cs="Arial"/>
          <w:bCs/>
          <w:sz w:val="24"/>
          <w:szCs w:val="24"/>
        </w:rPr>
        <w:t xml:space="preserve">Teilqualifizierungen </w:t>
      </w:r>
      <w:r>
        <w:rPr>
          <w:rFonts w:ascii="Arial" w:hAnsi="Arial" w:cs="Arial"/>
          <w:sz w:val="24"/>
          <w:szCs w:val="24"/>
        </w:rPr>
        <w:t xml:space="preserve">einen Beitrag leisten können, auch Menschen mit Beeinträchtigungen, die als nicht ausbildungsfähig gelten, einen schrittweisen Einstieg in eine anerkannte Ausbildung nach § 66 Berufsbildungsgesetz (BBIG) oder § 42m Handwerksordnung (HwO) zu ermöglichen. Inklusionsbetriebe werden wir weiter fördern. Wir wollen die </w:t>
      </w:r>
      <w:r>
        <w:rPr>
          <w:rFonts w:ascii="Arial" w:hAnsi="Arial" w:cs="Arial"/>
          <w:bCs/>
          <w:sz w:val="24"/>
          <w:szCs w:val="24"/>
        </w:rPr>
        <w:t xml:space="preserve">Werkstätten für behinderte Menschen </w:t>
      </w:r>
      <w:r>
        <w:rPr>
          <w:rFonts w:ascii="Arial" w:hAnsi="Arial" w:cs="Arial"/>
          <w:sz w:val="24"/>
          <w:szCs w:val="24"/>
        </w:rPr>
        <w:t>unterstützen, ihr Profil entsprechend neuer Anforderungen weiterzuentwickeln und dem Wunsch der Menschen mit Behinderungen nach Selbstbestimmung Rechnung zu tragen.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ind w:right="-171"/>
        <w:contextualSpacing/>
        <w:jc w:val="both"/>
        <w:rPr>
          <w:rFonts w:ascii="Arial" w:hAnsi="Arial" w:cs="Arial"/>
          <w:sz w:val="24"/>
          <w:szCs w:val="24"/>
        </w:rPr>
      </w:pPr>
      <w:r>
        <w:rPr>
          <w:rFonts w:ascii="Arial" w:hAnsi="Arial" w:cs="Arial"/>
          <w:sz w:val="24"/>
          <w:szCs w:val="24"/>
        </w:rPr>
        <w:t xml:space="preserve">Gemeinsam mit der Bundesagentur für Arbeit werden wir die Ursachen der überdurchschnittlich hohen Arbeitslosigkeit von Menschen mit Behinderungen genau analysieren und passgenaue Unterstützungsangebote entwickeln. Wir wollen die Meldepflicht an die Arbeitsagenturen für offene Stellen im öffentlichen Dienst, die von einem Menschen mit Schwerbehinderung besetzt waren, wiedereinführen. Das </w:t>
      </w:r>
      <w:r>
        <w:rPr>
          <w:rFonts w:ascii="Arial" w:hAnsi="Arial" w:cs="Arial"/>
          <w:bCs/>
          <w:sz w:val="24"/>
          <w:szCs w:val="24"/>
        </w:rPr>
        <w:t>betriebliche Eingliederungsmanagement</w:t>
      </w:r>
      <w:r>
        <w:rPr>
          <w:rFonts w:ascii="Arial" w:hAnsi="Arial" w:cs="Arial"/>
          <w:sz w:val="24"/>
          <w:szCs w:val="24"/>
        </w:rPr>
        <w:t xml:space="preserve"> wollen wir stärken. Für alle Menschen mit Behinderungen, ob im allgemeinen Arbeitsmarkt oder in Werkstätten beschäftigt, wollen wir den vollen </w:t>
      </w:r>
      <w:r>
        <w:rPr>
          <w:rFonts w:ascii="Arial" w:hAnsi="Arial" w:cs="Arial"/>
          <w:bCs/>
          <w:sz w:val="24"/>
          <w:szCs w:val="24"/>
        </w:rPr>
        <w:t>Zugang zu medizinisch-beruflicher Rehabilitation</w:t>
      </w:r>
      <w:r>
        <w:rPr>
          <w:rFonts w:ascii="Arial" w:hAnsi="Arial" w:cs="Arial"/>
          <w:sz w:val="24"/>
          <w:szCs w:val="24"/>
        </w:rPr>
        <w:t xml:space="preserve"> verbessern. Wir sehen dabei insbesondere für Menschen mit psychischer Erkrankung einen Nachholbedarf.</w:t>
      </w:r>
    </w:p>
    <w:p w:rsidR="007F452D" w:rsidRDefault="007F452D">
      <w:pPr>
        <w:spacing w:after="0" w:line="240" w:lineRule="auto"/>
        <w:ind w:right="-171"/>
        <w:contextualSpacing/>
        <w:jc w:val="both"/>
        <w:rPr>
          <w:rFonts w:ascii="Arial" w:hAnsi="Arial" w:cs="Arial"/>
          <w:strike/>
          <w:sz w:val="24"/>
          <w:szCs w:val="24"/>
        </w:rPr>
      </w:pPr>
    </w:p>
    <w:p w:rsidR="007F452D" w:rsidRDefault="006007DF">
      <w:pPr>
        <w:pStyle w:val="berschrift3"/>
        <w:contextualSpacing/>
        <w:rPr>
          <w:rFonts w:cs="Arial"/>
          <w:szCs w:val="24"/>
        </w:rPr>
      </w:pPr>
      <w:r>
        <w:rPr>
          <w:rFonts w:cs="Arial"/>
          <w:szCs w:val="24"/>
        </w:rPr>
        <w:t>Barrierefreiheit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behinderungsgerechten, barrierefreien </w:t>
      </w:r>
      <w:r>
        <w:rPr>
          <w:rFonts w:ascii="Arial" w:hAnsi="Arial" w:cs="Arial"/>
          <w:bCs/>
          <w:sz w:val="24"/>
          <w:szCs w:val="24"/>
        </w:rPr>
        <w:t>Wohnungsbau</w:t>
      </w:r>
      <w:r>
        <w:rPr>
          <w:rFonts w:ascii="Arial" w:hAnsi="Arial" w:cs="Arial"/>
          <w:sz w:val="24"/>
          <w:szCs w:val="24"/>
        </w:rPr>
        <w:t xml:space="preserve"> und barrierefreie Mobilität fördern, damit Menschen mit Behinderungen eine Wahl haben, wo und wie sie leben wollen. Wir wollen darüber hinaus Initiativen zu mehr Barrierefreiheit in Städten und Gemeinden stärken. Wir wollen Anreize auch durch Förderprogramme zur Verbesserung der Barrierefreiheit in den Kommunen setzen (z. B. Einsatz leichter Sprache und Gebärdendolmetscher, mobile sanitäre Anlagen, barrierefreie Veranstaltungen). Im Rahmen der Weiterentwicklung des Allgemeinen Gleichbehandlungsgesetzes (AGG) werden wir prüfen, wie Private, die Dienstleistungen für die Allgemeinheit erbringen, angemessene Vorkehrungen umsetzen können. Ein erster Schritt wird den Gesundheitssektor betreffen.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w:t>
      </w:r>
      <w:r>
        <w:rPr>
          <w:rFonts w:ascii="Arial" w:hAnsi="Arial" w:cs="Arial"/>
          <w:bCs/>
          <w:sz w:val="24"/>
          <w:szCs w:val="24"/>
        </w:rPr>
        <w:t>Digitalisierung</w:t>
      </w:r>
      <w:r>
        <w:rPr>
          <w:rFonts w:ascii="Arial" w:hAnsi="Arial" w:cs="Arial"/>
          <w:sz w:val="24"/>
          <w:szCs w:val="24"/>
        </w:rPr>
        <w:t xml:space="preserve"> eröffnet neue Teilhabechancen insbesondere für sinnesbehinderte und mobilitätseingeschränkte Menschen. Hier wollen wir einen Schwerpunkt im Nationalen Aktionsplan setzen.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darauf hinwirken, dass die Produzenten der Medien ihren Verpflichtungen nachkommen, zugängliche und barrierefreie Angebote in Film, Fernsehen und Print anzubieten. Dabei haben die öffentlichen Medien eine Vorbildfunktion.</w:t>
      </w:r>
    </w:p>
    <w:p w:rsidR="00BD70C6" w:rsidRDefault="00BD70C6">
      <w:pPr>
        <w:rPr>
          <w:rFonts w:ascii="Arial" w:hAnsi="Arial" w:cs="Arial"/>
          <w:b/>
          <w:sz w:val="24"/>
          <w:szCs w:val="24"/>
        </w:rPr>
      </w:pPr>
      <w:r>
        <w:rPr>
          <w:rFonts w:cs="Arial"/>
          <w:szCs w:val="24"/>
        </w:rPr>
        <w:br w:type="page"/>
      </w:r>
    </w:p>
    <w:p w:rsidR="007F452D" w:rsidRDefault="006007DF">
      <w:pPr>
        <w:pStyle w:val="berschrift3"/>
        <w:contextualSpacing/>
        <w:rPr>
          <w:rFonts w:cs="Arial"/>
          <w:szCs w:val="24"/>
        </w:rPr>
      </w:pPr>
      <w:r>
        <w:rPr>
          <w:rFonts w:cs="Arial"/>
          <w:szCs w:val="24"/>
        </w:rPr>
        <w:lastRenderedPageBreak/>
        <w:t>Unabhängige Teilhabeberatung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Unabhängige Teilhabeberatung wollen wir durch eine Weiterführung der Finanzierung verlässlich schützen.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Politische Partizipation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Unser Ziel ist ein inklusives Wahlrecht für alle. Wir werden den Wahlrechtsausschluss von Menschen, die sich durch eine Vollbetreuung unterstützen lassen, beenden. Wir empfehlen dem Deutschen Bundestag, in seinen aktuellen Beratungen zu Änderungen am Wahlrecht, dieses Thema entsprechend umzusetzen.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Schutz vor Gewalt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Menschen mit Behinderungen werden besonders häufig Opfer von Gewalt in unterschiedlichster Form. Wir wollen die Aufklärung und Stärkung der Menschen fördern sowie Gewaltschutzkonzepte in Einrichtungen und eine Verbesserung der Unterbringungsmöglichkeiten nach Übergriffen, z. B. in barrierefreien oder mit speziell geschultem Personal besetzten Frauenhäusern.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 xml:space="preserve">Schnittstellenklärung eingeschränkte bzw. dauerhafte Erwerbsminderung </w:t>
      </w:r>
    </w:p>
    <w:p w:rsidR="007F452D" w:rsidRDefault="006007DF">
      <w:pPr>
        <w:spacing w:after="0" w:line="240" w:lineRule="auto"/>
        <w:contextualSpacing/>
        <w:jc w:val="both"/>
        <w:rPr>
          <w:rFonts w:ascii="Arial" w:hAnsi="Arial" w:cs="Arial"/>
          <w:iCs/>
          <w:sz w:val="24"/>
          <w:szCs w:val="24"/>
        </w:rPr>
      </w:pPr>
      <w:r>
        <w:rPr>
          <w:rFonts w:ascii="Arial" w:hAnsi="Arial" w:cs="Arial"/>
          <w:iCs/>
          <w:sz w:val="24"/>
          <w:szCs w:val="24"/>
        </w:rPr>
        <w:t>Die unterschiedliche Gewährung existenzsichernder Leistungen bei Menschen mit befristeter und dauerhafter Erwerbsminderung werden wir prüfen.</w:t>
      </w:r>
    </w:p>
    <w:p w:rsidR="007F452D" w:rsidRDefault="007F452D">
      <w:pPr>
        <w:spacing w:after="0" w:line="240" w:lineRule="auto"/>
        <w:contextualSpacing/>
        <w:jc w:val="both"/>
        <w:rPr>
          <w:rFonts w:ascii="Arial" w:hAnsi="Arial" w:cs="Arial"/>
          <w:iCs/>
          <w:sz w:val="24"/>
          <w:szCs w:val="24"/>
        </w:rPr>
      </w:pPr>
    </w:p>
    <w:p w:rsidR="007F452D" w:rsidRDefault="006007DF">
      <w:pPr>
        <w:pStyle w:val="berschrift2"/>
        <w:numPr>
          <w:ilvl w:val="1"/>
          <w:numId w:val="12"/>
        </w:numPr>
        <w:contextualSpacing/>
        <w:rPr>
          <w:szCs w:val="24"/>
        </w:rPr>
      </w:pPr>
      <w:bookmarkStart w:id="40" w:name="_Toc505767165"/>
      <w:r>
        <w:rPr>
          <w:szCs w:val="24"/>
        </w:rPr>
        <w:t>Reform des Sozialen Entschädigungsrechts</w:t>
      </w:r>
      <w:bookmarkEnd w:id="40"/>
    </w:p>
    <w:p w:rsidR="007F452D" w:rsidRDefault="006007DF">
      <w:pPr>
        <w:spacing w:after="0" w:line="240" w:lineRule="auto"/>
        <w:contextualSpacing/>
        <w:jc w:val="both"/>
        <w:rPr>
          <w:rFonts w:ascii="Arial" w:hAnsi="Arial" w:cs="Arial"/>
          <w:iCs/>
          <w:sz w:val="24"/>
          <w:szCs w:val="24"/>
        </w:rPr>
      </w:pPr>
      <w:r>
        <w:rPr>
          <w:rFonts w:ascii="Arial" w:hAnsi="Arial" w:cs="Arial"/>
          <w:iCs/>
          <w:sz w:val="24"/>
          <w:szCs w:val="24"/>
        </w:rPr>
        <w:t>Wir wollen das Soziale Entschädigungsrecht (SER) reformieren. Dabei werden die Regelungen insbesondere an den Bedarfen der Opfer von Gewalttaten einschließlich der Opfer von Terrortaten ausgerichtet. Psychische Gewalt wird in den Gewaltbegriff einbezogen. Neue Leistungen der Sofort- bzw. Akuthilfen (u. a. Traumaambulanzen) werden schnell, niedrigschwellig und unbürokratisch zugänglich gemacht. Entschädigungszahlungen für Geschädigte und Hinterbliebene werden erhöht. Teilhabeleistungen werden künftig grundsätzlich ohne den Einsatz von Einkommen und Vermögen erbracht. Bei der Reform wird ein Bestandsschutz für die Kriegsopfer und ihre Angehörigen eingehalten.</w:t>
      </w:r>
    </w:p>
    <w:p w:rsidR="007F452D" w:rsidRDefault="007F452D">
      <w:pPr>
        <w:spacing w:after="0" w:line="240" w:lineRule="auto"/>
        <w:contextualSpacing/>
        <w:jc w:val="both"/>
        <w:rPr>
          <w:rFonts w:ascii="Arial" w:hAnsi="Arial" w:cs="Arial"/>
          <w:iCs/>
          <w:sz w:val="24"/>
          <w:szCs w:val="24"/>
        </w:rPr>
      </w:pPr>
    </w:p>
    <w:p w:rsidR="007F452D" w:rsidRDefault="006007DF">
      <w:pPr>
        <w:spacing w:after="0" w:line="240" w:lineRule="auto"/>
        <w:contextualSpacing/>
        <w:jc w:val="both"/>
        <w:rPr>
          <w:rFonts w:ascii="Arial" w:hAnsi="Arial" w:cs="Arial"/>
          <w:iCs/>
          <w:sz w:val="24"/>
          <w:szCs w:val="24"/>
        </w:rPr>
      </w:pPr>
      <w:r>
        <w:rPr>
          <w:rFonts w:ascii="Arial" w:hAnsi="Arial" w:cs="Arial"/>
          <w:iCs/>
          <w:sz w:val="24"/>
          <w:szCs w:val="24"/>
        </w:rPr>
        <w:t>Wir wollen Maßnahmen zur Verbesserung der Situation von Opfern des Terrors realisieren. Dazu wird ein/e Beauftragte/r der Bundesregierung für die Belange von Terroropfern benannt.</w:t>
      </w:r>
    </w:p>
    <w:p w:rsidR="007F452D" w:rsidRDefault="007F452D">
      <w:pPr>
        <w:spacing w:after="0" w:line="240" w:lineRule="auto"/>
        <w:contextualSpacing/>
        <w:jc w:val="both"/>
        <w:rPr>
          <w:rFonts w:ascii="Arial" w:hAnsi="Arial" w:cs="Arial"/>
          <w:iCs/>
          <w:sz w:val="24"/>
          <w:szCs w:val="24"/>
        </w:rPr>
      </w:pPr>
    </w:p>
    <w:p w:rsidR="007F452D" w:rsidRDefault="006007DF">
      <w:pPr>
        <w:spacing w:after="0" w:line="240" w:lineRule="auto"/>
        <w:contextualSpacing/>
        <w:jc w:val="both"/>
        <w:rPr>
          <w:rFonts w:ascii="Arial" w:hAnsi="Arial" w:cs="Arial"/>
          <w:iCs/>
          <w:sz w:val="24"/>
          <w:szCs w:val="24"/>
        </w:rPr>
      </w:pPr>
      <w:r>
        <w:rPr>
          <w:rFonts w:ascii="Arial" w:hAnsi="Arial" w:cs="Arial"/>
          <w:iCs/>
          <w:sz w:val="24"/>
          <w:szCs w:val="24"/>
        </w:rPr>
        <w:t xml:space="preserve">Im Zuge der SER-Reform soll auch die Situation der Opfer sexueller Gewalt verbessert werden. </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2"/>
        </w:numPr>
        <w:contextualSpacing/>
        <w:rPr>
          <w:szCs w:val="24"/>
        </w:rPr>
      </w:pPr>
      <w:bookmarkStart w:id="41" w:name="_Toc505767166"/>
      <w:r>
        <w:rPr>
          <w:szCs w:val="24"/>
        </w:rPr>
        <w:t>Gesundheit und Pflege</w:t>
      </w:r>
      <w:bookmarkEnd w:id="41"/>
    </w:p>
    <w:p w:rsidR="007F452D" w:rsidRDefault="006007DF">
      <w:pPr>
        <w:spacing w:after="0" w:line="240" w:lineRule="auto"/>
        <w:contextualSpacing/>
        <w:jc w:val="both"/>
        <w:rPr>
          <w:rFonts w:ascii="Arial" w:hAnsi="Arial" w:cs="Arial"/>
          <w:bCs/>
          <w:sz w:val="24"/>
          <w:szCs w:val="24"/>
        </w:rPr>
      </w:pPr>
      <w:r>
        <w:rPr>
          <w:rFonts w:ascii="Arial" w:hAnsi="Arial" w:cs="Arial"/>
          <w:sz w:val="24"/>
          <w:szCs w:val="24"/>
        </w:rPr>
        <w:t xml:space="preserve">Kranke, Pflegebedürftige und Menschen mit Behinderungen müssen auf die Solidarität der Gesellschaft vertrauen können. Wir werden sicherstellen, dass alle auch zukünftig eine gute, flächendeckende medizinische und pflegerische Versorgung von Beginn bis zum Ende ihres Lebens erhalten, unabhängig von ihrem Einkommen und Wohnort. </w:t>
      </w:r>
      <w:r>
        <w:rPr>
          <w:rStyle w:val="Fett"/>
          <w:rFonts w:ascii="Arial" w:hAnsi="Arial" w:cs="Arial"/>
          <w:sz w:val="24"/>
          <w:szCs w:val="24"/>
        </w:rPr>
        <w:t xml:space="preserve">Das Patientenwohl ist für uns entscheidender Maßstab für gesundheitspolitische Entscheidungen, die Patientenorientierung ist unser Leitbild für das Gesundheitswesen. </w:t>
      </w:r>
      <w:r>
        <w:rPr>
          <w:rFonts w:ascii="Arial" w:hAnsi="Arial" w:cs="Arial"/>
          <w:sz w:val="24"/>
          <w:szCs w:val="24"/>
        </w:rPr>
        <w:t>Die Zusammenarbeit und Vernetzung im Gesundheitswesen müssen ausgebaut und verstärkt werden. Zur Erreichung einer sektorenübergreifenden Versorgung wollen wir nachhaltige Schritte einleiten.</w:t>
      </w:r>
    </w:p>
    <w:p w:rsidR="00BD70C6" w:rsidRDefault="00BD70C6">
      <w:pPr>
        <w:rPr>
          <w:rFonts w:ascii="Arial" w:hAnsi="Arial" w:cs="Arial"/>
          <w:b/>
          <w:sz w:val="24"/>
          <w:szCs w:val="24"/>
        </w:rPr>
      </w:pPr>
      <w:r>
        <w:rPr>
          <w:rFonts w:cs="Arial"/>
          <w:szCs w:val="24"/>
        </w:rPr>
        <w:br w:type="page"/>
      </w:r>
    </w:p>
    <w:p w:rsidR="007F452D" w:rsidRDefault="006007DF">
      <w:pPr>
        <w:pStyle w:val="berschrift3"/>
        <w:contextualSpacing/>
        <w:rPr>
          <w:rFonts w:cs="Arial"/>
          <w:szCs w:val="24"/>
        </w:rPr>
      </w:pPr>
      <w:r>
        <w:rPr>
          <w:rFonts w:cs="Arial"/>
          <w:szCs w:val="24"/>
        </w:rPr>
        <w:lastRenderedPageBreak/>
        <w:t>Pflege</w:t>
      </w:r>
    </w:p>
    <w:p w:rsidR="007F452D" w:rsidRDefault="006007DF">
      <w:pPr>
        <w:autoSpaceDE w:val="0"/>
        <w:autoSpaceDN w:val="0"/>
        <w:adjustRightInd w:val="0"/>
        <w:spacing w:after="0" w:line="240" w:lineRule="auto"/>
        <w:contextualSpacing/>
        <w:jc w:val="both"/>
        <w:rPr>
          <w:rFonts w:ascii="Arial" w:hAnsi="Arial" w:cs="Arial"/>
          <w:sz w:val="24"/>
          <w:szCs w:val="24"/>
          <w:lang w:eastAsia="zh-CN"/>
        </w:rPr>
      </w:pPr>
      <w:r>
        <w:rPr>
          <w:rFonts w:ascii="Arial" w:hAnsi="Arial" w:cs="Arial"/>
          <w:sz w:val="24"/>
          <w:szCs w:val="24"/>
          <w:lang w:eastAsia="zh-CN"/>
        </w:rPr>
        <w:t>Eine gute und verlässliche Pflege ist für immer mehr Betroffene und ihre Angehörigen von zentraler Bedeutung. In der vergangenen Legislaturperiode haben wir die Pflegeversicherung mit den Pflegestärkungsgesetzen grundlegend reformiert. Auch in den kommenden Jahren werden wir nicht nachlassen, die Pflege und die häusliche Versorgung zu verbessern, die Unterstützung für pflegende Angehörige auszubauen und die Arbeitsbedingungen von Fachkräften und Betreuern in der Pflege so attraktiv zu machen, dass ausreichend Menschen den Pflegeberuf ergreifen, beibehalten und damit die Versorgung sicherstellen. Dazu werden wir ein Sofortprogramm Pflege und darüber hinaus eine „Konzertierte Aktion Pflege“ zur bedarfsgerechten Weiterentwicklung der Situation in der Pflege auf den Weg bringen.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Arbeitsbedingungen und die Bezahlung in der Alten- und Krankenpflege sofort und spürbar verbessern. Es werden Sofortmaßnahmen für eine bessere Personalausstattung in der Altenpflege und im Krankenhausbereich ergriffen und dafür zusätzliche Stellen zielgerichtet gefördert. In der Altenpflege sollen die Sachleistungen kontinuierlich an die Personalentwicklung angepasst werden.</w:t>
      </w:r>
    </w:p>
    <w:p w:rsidR="007F452D" w:rsidRDefault="007F452D">
      <w:pPr>
        <w:spacing w:after="0" w:line="240" w:lineRule="auto"/>
        <w:contextualSpacing/>
        <w:jc w:val="both"/>
        <w:rPr>
          <w:rFonts w:ascii="Arial" w:hAnsi="Arial" w:cs="Arial"/>
          <w:sz w:val="24"/>
          <w:szCs w:val="24"/>
        </w:rPr>
      </w:pPr>
    </w:p>
    <w:p w:rsidR="007F452D" w:rsidRDefault="006007DF">
      <w:pPr>
        <w:autoSpaceDE w:val="0"/>
        <w:autoSpaceDN w:val="0"/>
        <w:adjustRightInd w:val="0"/>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In einem Sofortprogramm werden wir 8000 neue Fachkraftstellen im Zusammenhang mit der medizinischen Behandlungspflege in Pflegeeinrichtungen schaffen. Der dafür erforderliche finanzielle Mehraufwand soll durch eine Vollfinanzierung aus Mitteln der Gesetzlichen Krankenversicherung (GKV) erfolgen. Dem Sofortprogramm werden weitere Schritte folgen. </w:t>
      </w:r>
    </w:p>
    <w:p w:rsidR="007F452D" w:rsidRDefault="007F452D">
      <w:pPr>
        <w:autoSpaceDE w:val="0"/>
        <w:autoSpaceDN w:val="0"/>
        <w:adjustRightInd w:val="0"/>
        <w:spacing w:after="0" w:line="240" w:lineRule="auto"/>
        <w:contextualSpacing/>
        <w:jc w:val="both"/>
        <w:rPr>
          <w:rFonts w:ascii="Arial" w:hAnsi="Arial" w:cs="Arial"/>
          <w:sz w:val="24"/>
          <w:szCs w:val="24"/>
          <w:lang w:eastAsia="zh-CN"/>
        </w:rPr>
      </w:pPr>
    </w:p>
    <w:p w:rsidR="007F452D" w:rsidRDefault="006007DF">
      <w:pPr>
        <w:autoSpaceDE w:val="0"/>
        <w:autoSpaceDN w:val="0"/>
        <w:adjustRightInd w:val="0"/>
        <w:spacing w:after="0" w:line="240" w:lineRule="auto"/>
        <w:contextualSpacing/>
        <w:jc w:val="both"/>
        <w:rPr>
          <w:rFonts w:ascii="Arial" w:hAnsi="Arial" w:cs="Arial"/>
          <w:sz w:val="24"/>
          <w:szCs w:val="24"/>
          <w:lang w:eastAsia="zh-CN"/>
        </w:rPr>
      </w:pPr>
      <w:r>
        <w:rPr>
          <w:rFonts w:ascii="Arial" w:hAnsi="Arial" w:cs="Arial"/>
          <w:sz w:val="24"/>
          <w:szCs w:val="24"/>
        </w:rPr>
        <w:t xml:space="preserve">Wir wollen in einer „Konzertierten Aktion Pflege“ eine bedarfsgerechte Weiterentwicklung der Situation in der Altenpflege erreichen. </w:t>
      </w:r>
      <w:r>
        <w:rPr>
          <w:rFonts w:ascii="Arial" w:hAnsi="Arial" w:cs="Arial"/>
          <w:sz w:val="24"/>
          <w:szCs w:val="24"/>
          <w:lang w:eastAsia="zh-CN"/>
        </w:rPr>
        <w:t>Deshalb entwickeln wir verbindliche Personalbemessungsinstrumente, auch im Hinblick auf die Pflegesituation in der Nacht. Die „Konzertierte Aktion Pflege“ umfasst u. a. eine Ausbildungsoffensive, Anreize für eine bessere Rückkehr von Teil- in Vollzeit, ein Wiedereinstiegsprogramm, eine bessere Gesundheitsvorsorge für die Beschäftigten sowie eine Weiterqualifizierung von Pflegehelferinnen und Pflegehelfern zu Pflegefachkräften.</w:t>
      </w:r>
    </w:p>
    <w:p w:rsidR="007F452D" w:rsidRDefault="007F452D">
      <w:pPr>
        <w:autoSpaceDE w:val="0"/>
        <w:autoSpaceDN w:val="0"/>
        <w:adjustRightInd w:val="0"/>
        <w:spacing w:after="0" w:line="240" w:lineRule="auto"/>
        <w:contextualSpacing/>
        <w:jc w:val="both"/>
        <w:rPr>
          <w:rFonts w:ascii="Arial" w:hAnsi="Arial" w:cs="Arial"/>
          <w:sz w:val="24"/>
          <w:szCs w:val="24"/>
          <w:lang w:eastAsia="zh-CN"/>
        </w:rPr>
      </w:pPr>
    </w:p>
    <w:p w:rsidR="007F452D" w:rsidRDefault="006007DF">
      <w:pPr>
        <w:autoSpaceDE w:val="0"/>
        <w:autoSpaceDN w:val="0"/>
        <w:adjustRightInd w:val="0"/>
        <w:spacing w:after="0" w:line="240" w:lineRule="auto"/>
        <w:contextualSpacing/>
        <w:jc w:val="both"/>
        <w:rPr>
          <w:rFonts w:ascii="Arial" w:hAnsi="Arial" w:cs="Arial"/>
          <w:sz w:val="24"/>
          <w:szCs w:val="24"/>
          <w:lang w:eastAsia="zh-CN"/>
        </w:rPr>
      </w:pPr>
      <w:r>
        <w:rPr>
          <w:rFonts w:ascii="Arial" w:hAnsi="Arial" w:cs="Arial"/>
          <w:sz w:val="24"/>
          <w:szCs w:val="24"/>
          <w:lang w:eastAsia="zh-CN"/>
        </w:rPr>
        <w:t>Wir wollen die Bezahlung in der Altenpflege nach Tarif stärken. Gemeinsam mit den Tarifpartnern wollen wir dafür sorgen, dass Tarifverträge in der Altenpflege flächendeckend zur Anwendung kommen. Wir wollen angemessene Löhne und gute Arbeitsbedingungen in der Altenpflege.</w:t>
      </w:r>
      <w:r>
        <w:rPr>
          <w:rFonts w:ascii="Arial" w:hAnsi="Arial" w:cs="Arial"/>
          <w:sz w:val="24"/>
          <w:szCs w:val="24"/>
        </w:rPr>
        <w:t xml:space="preserve"> </w:t>
      </w:r>
      <w:r>
        <w:rPr>
          <w:rFonts w:ascii="Arial" w:hAnsi="Arial" w:cs="Arial"/>
          <w:sz w:val="24"/>
          <w:szCs w:val="24"/>
          <w:lang w:eastAsia="zh-CN"/>
        </w:rPr>
        <w:t xml:space="preserve">Dafür schaffen wir die gesetzlichen Voraussetzungen. Im Krankenhausbereich werden wir eine vollständige Refinanzierung von Tarifsteigerungen herbeiführen, verbunden mit der Nachweispflicht, dass dies auch tatsächlich bei den Beschäftigten ankommt. Wir bitten die Pflegemindestlohn-Kommission, sich zeitnah mit der Angleichung des Pflegemindestlohns in Ost und West zu befassen. </w:t>
      </w:r>
    </w:p>
    <w:p w:rsidR="007F452D" w:rsidRDefault="007F452D">
      <w:pPr>
        <w:autoSpaceDE w:val="0"/>
        <w:autoSpaceDN w:val="0"/>
        <w:adjustRightInd w:val="0"/>
        <w:spacing w:after="0" w:line="240" w:lineRule="auto"/>
        <w:contextualSpacing/>
        <w:jc w:val="both"/>
        <w:rPr>
          <w:rFonts w:ascii="Arial" w:hAnsi="Arial" w:cs="Arial"/>
          <w:sz w:val="24"/>
          <w:szCs w:val="24"/>
          <w:lang w:eastAsia="zh-CN"/>
        </w:rPr>
      </w:pPr>
    </w:p>
    <w:p w:rsidR="007F452D" w:rsidRDefault="006007DF">
      <w:pPr>
        <w:autoSpaceDE w:val="0"/>
        <w:autoSpaceDN w:val="0"/>
        <w:adjustRightInd w:val="0"/>
        <w:spacing w:after="0" w:line="240" w:lineRule="auto"/>
        <w:contextualSpacing/>
        <w:jc w:val="both"/>
        <w:rPr>
          <w:rFonts w:ascii="Arial" w:hAnsi="Arial" w:cs="Arial"/>
          <w:sz w:val="24"/>
          <w:szCs w:val="24"/>
          <w:lang w:eastAsia="zh-CN"/>
        </w:rPr>
      </w:pPr>
      <w:r>
        <w:rPr>
          <w:rFonts w:ascii="Arial" w:hAnsi="Arial" w:cs="Arial"/>
          <w:sz w:val="24"/>
          <w:szCs w:val="24"/>
          <w:lang w:eastAsia="zh-CN"/>
        </w:rPr>
        <w:t>Wir werden die ambulante Alten- und Krankenpflege insbesondere im ländlichen Raum stärken. Dazu gehört u. a. eine bessere Honorierung der Wegezeiten, wenn die Versorgung nur mit längeren Anfahrtswegen sichergestellt werden kann.</w:t>
      </w:r>
    </w:p>
    <w:p w:rsidR="007F452D" w:rsidRDefault="007F452D">
      <w:pPr>
        <w:autoSpaceDE w:val="0"/>
        <w:autoSpaceDN w:val="0"/>
        <w:adjustRightInd w:val="0"/>
        <w:spacing w:after="0" w:line="240" w:lineRule="auto"/>
        <w:contextualSpacing/>
        <w:jc w:val="both"/>
        <w:rPr>
          <w:rFonts w:ascii="Arial" w:hAnsi="Arial" w:cs="Arial"/>
          <w:sz w:val="24"/>
          <w:szCs w:val="24"/>
          <w:lang w:eastAsia="zh-CN"/>
        </w:rPr>
      </w:pPr>
    </w:p>
    <w:p w:rsidR="007F452D" w:rsidRDefault="006007DF">
      <w:pPr>
        <w:pStyle w:val="StandardWeb"/>
        <w:spacing w:before="0" w:beforeAutospacing="0" w:after="0" w:afterAutospacing="0"/>
        <w:contextualSpacing/>
        <w:jc w:val="both"/>
        <w:rPr>
          <w:rFonts w:ascii="Arial" w:hAnsi="Arial" w:cs="Arial"/>
        </w:rPr>
      </w:pPr>
      <w:r>
        <w:rPr>
          <w:rFonts w:ascii="Arial" w:hAnsi="Arial" w:cs="Arial"/>
        </w:rPr>
        <w:t xml:space="preserve">Um Angehörige besser zu unterstützen, gehören insbesondere Angebote in der Kurzzeit- und Verhinderungspflege sowie in der Tages- und Nachtpflege, die besonders pflegende Angehörige entlasten, zu einer guten pflegerischen Infrastruktur. Wir wollen die o. g. Leistungen, die besonders pflegende Angehörige entlasten, zu einem jährlichen Entlastungsbudget zusammenfassen, das flexibel in Anspruch genommen </w:t>
      </w:r>
      <w:r>
        <w:rPr>
          <w:rFonts w:ascii="Arial" w:hAnsi="Arial" w:cs="Arial"/>
        </w:rPr>
        <w:lastRenderedPageBreak/>
        <w:t xml:space="preserve">werden kann. Damit können wir erheblich zur Entbürokratisierung in der ambulanten Pflege beitragen, die häusliche Versorgung stärken und pflegende Angehörige entlasten. Wir werden die Angebote für eine verlässliche Kurzzeitpflege stärken, indem wir eine wirtschaftlich tragfähige Vergütung sicherstellen. Um die Situation pflegender Angehöriger zu verbessern, werden sie einen Anspruch auf medizinisch erforderliche Rehabilitationsleistung nach ärztlicher Verordnung erhalten. </w:t>
      </w:r>
    </w:p>
    <w:p w:rsidR="007F452D" w:rsidRDefault="007F452D">
      <w:pPr>
        <w:pStyle w:val="StandardWeb"/>
        <w:spacing w:before="0" w:beforeAutospacing="0" w:after="0" w:afterAutospacing="0"/>
        <w:contextualSpacing/>
        <w:jc w:val="both"/>
        <w:rPr>
          <w:rFonts w:ascii="Arial" w:hAnsi="Arial" w:cs="Arial"/>
        </w:rPr>
      </w:pPr>
    </w:p>
    <w:p w:rsidR="007F452D" w:rsidRDefault="006007DF">
      <w:pPr>
        <w:autoSpaceDE w:val="0"/>
        <w:autoSpaceDN w:val="0"/>
        <w:adjustRightInd w:val="0"/>
        <w:spacing w:after="0" w:line="240" w:lineRule="auto"/>
        <w:contextualSpacing/>
        <w:jc w:val="both"/>
        <w:rPr>
          <w:rFonts w:ascii="Arial" w:hAnsi="Arial" w:cs="Arial"/>
          <w:sz w:val="24"/>
          <w:szCs w:val="24"/>
          <w:lang w:eastAsia="zh-CN"/>
        </w:rPr>
      </w:pPr>
      <w:r>
        <w:rPr>
          <w:rFonts w:ascii="Arial" w:hAnsi="Arial" w:cs="Arial"/>
          <w:sz w:val="24"/>
          <w:szCs w:val="24"/>
          <w:lang w:eastAsia="zh-CN"/>
        </w:rPr>
        <w:t>Auf das Einkommen der Kinder von pflegebedürftigen Eltern soll künftig erst ab einem Einkommen in Höhe von 100.000 Euro im Jahr zurückgegriffen werden.</w:t>
      </w:r>
    </w:p>
    <w:p w:rsidR="007F452D" w:rsidRDefault="007F452D">
      <w:pPr>
        <w:pStyle w:val="StandardWeb"/>
        <w:spacing w:before="0" w:beforeAutospacing="0" w:after="0" w:afterAutospacing="0"/>
        <w:contextualSpacing/>
        <w:jc w:val="both"/>
        <w:rPr>
          <w:rFonts w:ascii="Arial" w:hAnsi="Arial" w:cs="Arial"/>
        </w:rPr>
      </w:pPr>
    </w:p>
    <w:p w:rsidR="007F452D" w:rsidRDefault="006007DF">
      <w:pPr>
        <w:pStyle w:val="StandardWeb"/>
        <w:spacing w:before="0" w:beforeAutospacing="0" w:after="0" w:afterAutospacing="0"/>
        <w:contextualSpacing/>
        <w:jc w:val="both"/>
        <w:rPr>
          <w:rFonts w:ascii="Arial" w:hAnsi="Arial" w:cs="Arial"/>
        </w:rPr>
      </w:pPr>
      <w:r>
        <w:rPr>
          <w:rFonts w:ascii="Arial" w:hAnsi="Arial" w:cs="Arial"/>
        </w:rPr>
        <w:t>Wir wollen möglichst frühzeitig Pflegebedürftigkeit vermeiden. Dafür fördern wir den präventiven Hausbesuch durch Mittel des Präventionsgesetzes. Kommunen sollen mehr Mitgestaltungsmöglichkeiten bei der Ausrichtung der pflegerischen Versorgungsangebote vor Ort im Rahmen der Versorgungsverträge erhalten.</w:t>
      </w:r>
    </w:p>
    <w:p w:rsidR="007F452D" w:rsidRDefault="007F452D">
      <w:pPr>
        <w:pStyle w:val="StandardWeb"/>
        <w:spacing w:before="0" w:beforeAutospacing="0" w:after="0" w:afterAutospacing="0"/>
        <w:contextualSpacing/>
        <w:jc w:val="both"/>
        <w:rPr>
          <w:rFonts w:ascii="Arial" w:hAnsi="Arial" w:cs="Arial"/>
        </w:rPr>
      </w:pPr>
    </w:p>
    <w:p w:rsidR="007F452D" w:rsidRDefault="006007DF">
      <w:pPr>
        <w:pStyle w:val="StandardWeb"/>
        <w:spacing w:before="0" w:beforeAutospacing="0" w:after="0" w:afterAutospacing="0"/>
        <w:contextualSpacing/>
        <w:jc w:val="both"/>
        <w:rPr>
          <w:rFonts w:ascii="Arial" w:hAnsi="Arial" w:cs="Arial"/>
        </w:rPr>
      </w:pPr>
      <w:r>
        <w:rPr>
          <w:rFonts w:ascii="Arial" w:hAnsi="Arial" w:cs="Arial"/>
        </w:rPr>
        <w:t xml:space="preserve">Pflegebedürftige Menschen haben einen hohen Bedarf an medizinischen Leistungen. Die Kassenärztlichen Vereinigungen und die Pflegeeinrichtungen werden verpflichtet, Kooperationsverträge abzuschließen. </w:t>
      </w:r>
    </w:p>
    <w:p w:rsidR="007F452D" w:rsidRDefault="007F452D">
      <w:pPr>
        <w:autoSpaceDE w:val="0"/>
        <w:autoSpaceDN w:val="0"/>
        <w:adjustRightInd w:val="0"/>
        <w:spacing w:after="0" w:line="240" w:lineRule="auto"/>
        <w:contextualSpacing/>
        <w:jc w:val="both"/>
        <w:rPr>
          <w:rFonts w:ascii="Arial" w:hAnsi="Arial" w:cs="Arial"/>
          <w:sz w:val="24"/>
          <w:szCs w:val="24"/>
          <w:lang w:eastAsia="zh-CN"/>
        </w:rPr>
      </w:pPr>
    </w:p>
    <w:p w:rsidR="007F452D" w:rsidRDefault="006007DF">
      <w:pPr>
        <w:autoSpaceDE w:val="0"/>
        <w:autoSpaceDN w:val="0"/>
        <w:adjustRightInd w:val="0"/>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Den Auftrag an Kassen und Krankenhäuser, Personaluntergrenzen für pflegeintensive Bereiche festzulegen, werden wir dergestalt erweitern, dass in Krankenhäusern derartige Untergrenzen nicht nur für pflegeintensive Bereiche, sondern für alle bettenführenden Abteilungen eingeführt werden.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Sektorenübergreifende Versorgung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Zusammenarbeit und Vernetzung im Gesundheitswesen müssen ausgebaut und verstärkt werden. Für eine sektorenübergreifende Versorgung wollen wir weitere nachhaltige Schritte einleiten, damit sich die Behandlungsverläufe ausschließlich am medizinisch-pflegerischen Bedarf der Patientinnen und Patienten ausrichten.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eine Bund-Länder-Arbeitsgruppe unter Einbeziehung der Regierungsfraktionen im Deutschen Bundestag einrichten. Diese Arbeitsgruppe wird Vorschläge für die Weiterentwicklung zu einer sektorenübergreifenden Versorgung des stationären und ambulanten Systems im Hinblick auf Bedarfsplanung, Zulassung, Honorierung, Kodierung, Dokumentation, Kooperation der Gesundheitsberufe und Qualitätssicherung unter Berücksichtigung der telematischen Infrastruktur bis 2020 vorlegen. Dabei sollen Spielräume für regionale Ausgestaltungen ermöglicht werden.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Ambulante Versorgung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in einem Sofortprogramm die Leistungen und den Zugang zur Versorgung für gesetzlich Versicherte verbessern. Dazu werden die Terminservicestellen der Kassenärztlichen Vereinigungen unter einer bundesweit einheitlichen, einprägsamen Telefonnummer von 8 bis 18 Uhr erreichbar sein und auch haus- und kinderärztliche Termine vermitteln.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Das Mindestsprechstundenangebot der Vertragsärzte für die Versorgung von gesetzlich versicherten Patienten wird von 20 auf 25 Stunden erhöht. Ärztinnen und Ärzte, die in wirtschaftlich schwachen und unterversorgten ländlichen Räumen praktizieren, werden über regionale Zuschläge besonders unterstützt. Dazu werden die hausärztliche Versorgung und die „sprechende Medizin“ besser vergütet. Dies beinhaltet auch die koordinierenden Leistungen, inklusive der Terminvermittlung zum Facharzt.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Die Möglichkeit der Kassenärztlichen Vereinigungen, die Sicherstellung durch Eigeneinrichtungen zu gewährleisten, wird erweitert.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weiterhin darauf drängen, dass die Bedarfsplanung zur Verteilung der Arztsitze kleinräumiger, bedarfsgerechter und flexibler gestaltet wird. In ländlichen oder strukturschwachen Gebieten entfallen Zulassungssperren für die Neuniederlassung von Ärztinnen und Ärzten. Die Bestimmung der von dieser Regelung erfassten Gebiete obliegt den Ländern.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Strukturfonds der Kassenärztlichen Vereinigungen erhöhen, verbindlicher ausgestalten und im Verwendungszweck flexibilisieren. Die Länder erhalten ein Mitberatungs- und Antragsrecht in den Zulassungsausschüssen der Kassenärztlichen Vereinigungen.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den Innovationsfonds über das Jahr 2019 mit einem Volumen von 200 Millionen Euro jährlich fortsetzen. Wir wollen gewährleisten, dass erfolgreiche Versorgungsansätze zügig in die Regelversorgung überführt werden. Eigene Modellprojekte des Bundesministeriums für Gesundheit wollen wir ermöglichen.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gezielt Volkskrankheiten wie Krebs, Demenz oder psychische Störungen bekämpfen. Dabei betonen wir die nationale Diabetesstrategie. Wir werden die </w:t>
      </w:r>
      <w:r>
        <w:rPr>
          <w:rFonts w:ascii="Arial" w:hAnsi="Arial" w:cs="Arial"/>
          <w:sz w:val="24"/>
          <w:szCs w:val="24"/>
        </w:rPr>
        <w:br/>
        <w:t>Disease-Management-Programme weiter stärken, insbesondere durch eine Umsetzung der Programme für Rückenschmerz und Depressionen.</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Die Festzuschüsse für Zahnersatz werden wir von bisher 50 Prozent auf 60 Prozent erhöhen.</w:t>
      </w:r>
    </w:p>
    <w:p w:rsidR="007F452D" w:rsidRDefault="007F452D">
      <w:pPr>
        <w:pStyle w:val="NurText"/>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 einer flächendeckenden Gesundheitsversorgung gehören für uns neben einer gut erreichbaren ärztlichen Versorgung auch eine wohnortnahe Geburtshilfe, Hebammen und Apotheken vor Ort.</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Um die Apotheken vor Ort zu stärken, setzen wir uns für ein Verbot des Versandhandels mit verschreibungspflichtigen Arzneimitteln ein.</w:t>
      </w:r>
    </w:p>
    <w:p w:rsidR="007F452D" w:rsidRDefault="007F452D">
      <w:pPr>
        <w:pStyle w:val="NurText"/>
        <w:contextualSpacing/>
        <w:jc w:val="both"/>
        <w:rPr>
          <w:rFonts w:ascii="Arial" w:hAnsi="Arial" w:cs="Arial"/>
          <w:sz w:val="24"/>
          <w:szCs w:val="24"/>
          <w:highlight w:val="yellow"/>
        </w:rPr>
      </w:pPr>
    </w:p>
    <w:p w:rsidR="007F452D" w:rsidRDefault="006007D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Wir werden die Hospiz- und Palliativversorgung weiter stärken, insbesondere durch Kostenübernahme für die Koordination von Hospiz- und Palliativversorgungsnetzwerken sowie durch Verbesserungen bei der Versorgung von Kindern und in Altenpflegeeinrichtungen‎. Wir werden zeitnah überprüfen, ob die zuschussfähigen Leistungen bei den Hospizen angemessen erfasst sind.</w:t>
      </w:r>
    </w:p>
    <w:p w:rsidR="007F452D" w:rsidRDefault="007F452D">
      <w:pPr>
        <w:spacing w:after="0" w:line="240" w:lineRule="auto"/>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Wir wollen prüfen, ob eine Herausnahme der spezialisierten ambulanten Palliativversorgung (SAPV) aus dem Anwendungsbereich des Gesetzes gegen Wettbewerbsbeschränkungen durch eine entsprechende Klarstellung in § 69 Abs. 2 Satz 2 Sozialgesetzbuch V erforderlich ist.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Medizinischen Dienste der Krankenversicherung stärken, deren Unabhängigkeit gewährleisten und für bundesweit einheitliche und verbindliche Regelungen bei ihrer Aufgabenwahrnehmung Sorge tragen.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Damit medizinische Innovationen schneller in die Regelversorgung gelangen, werden wir die Verfahren des Gemeinsamen Bundesausschusses beschleunigen, indem der </w:t>
      </w:r>
      <w:r>
        <w:rPr>
          <w:rFonts w:ascii="Arial" w:hAnsi="Arial" w:cs="Arial"/>
          <w:sz w:val="24"/>
          <w:szCs w:val="24"/>
        </w:rPr>
        <w:lastRenderedPageBreak/>
        <w:t xml:space="preserve">Aufgabenkatalog und die Ablaufstrukturen gestrafft werden. Über neue Untersuchungs- und Behandlungsmethoden soll zukünftig schneller entschieden werden. Den Ländern werden künftig in den Beratungen zur Bedarfsplanung und zu allen Aspekten der Qualitätssicherung die gleichen Rechte und Pflichten wie den Patientenvertretern eingeräumt.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Sowohl die ambulante Honorarordnung in der Gesetzlichen Krankenversicherung (EBM), als auch die Gebührenordnung der Privaten Krankenversicherung (GOÄ) müssen reformiert werden. Deshalb wollen wir ein modernes Vergütungssystem schaffen, das den Versorgungsbedarf der Bevölkerung und den Stand des medizinischen Fortschritts abbildet. Dies bedarf einer sorgfältigen Vorbereitung. Die Bundesregierung wird dazu auf Vorschlag des Bundesgesundheitsministeriums eine wissenschaftliche Kommission einsetzen, die bis Ende 2019 unter Berücksichtigung aller hiermit zusammenhängenden medizinischen, rechtlichen und wirtschaftlichen Fragen Vorschläge vorlegt. Ob diese Vorschläge umgesetzt werden, wird danach entschieden.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Krankenhäuser</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eine gute stationäre Versorgung sicherzustellen, sind deutlich erhöhte Investitionen in Krankenhäuser für Umstrukturierungen, neue Technologien und Digitalisierung notwendig. Die Länderkompetenz in der Krankenhausplanung und die Verpflichtung zur Investitionsfinanzierung bleiben erhalten. Um den notwendigen Strukturwandel der Krankenhauslandschaft und die Qualität der stationären Versorgung zu befördern, wird der aus der Liquiditätsreserve des Gesundheitsfonds und von den Ländern hälftig finanzierte Strukturfonds für weitere vier Jahre in Höhe von einer Mrd. Euro/jährlich fortgesetzt.</w:t>
      </w:r>
    </w:p>
    <w:p w:rsidR="007F452D" w:rsidRDefault="007F452D">
      <w:pPr>
        <w:spacing w:after="0" w:line="240" w:lineRule="auto"/>
        <w:contextualSpacing/>
        <w:jc w:val="both"/>
        <w:rPr>
          <w:rFonts w:ascii="Arial" w:hAnsi="Arial" w:cs="Arial"/>
          <w:i/>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Qualitätsoffensive für Krankenhäuser soll fortgesetzt werden. Dazu gehören insbesondere eine qualitätsorientierte Arbeitsteilung und Vernetzung zwischen einer gut erreichbaren Grund- und Regelversorgung, Zentren für schwerwiegende, komplexe oder seltene Erkrankungen sowie damit verbundenen Anbietern des Gesundheits- und Pflegewesens. Die Zentren bieten interdisziplinäre Behandlungsteams mit hoher medizinischer Kompetenz und sollen auch mit ambulanten Schwerpunktpraxen zusammenarbeiten, um so spezialmedizinische Kompetenz auch in der Fläche verfügbar zu machen. Die für die Ausweisung der Zentren notwendigen Instrumente der Qualitätssicherung sind weiterzuentwickeln. Wir werden die rechtlichen Anpassungen für die entsprechende Weiterentwicklung der Krankenhausplanung vornehmen.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Als zusätzliche Aufgabe der stationären Grundversorgung sollen die Krankenhäuser insbesondere im ländlichen Raum im Verbund mit den Schwerpunktkrankenhäusern und örtlichen Pflegeanbietern ergänzende niedrigschwellige Versorgungsangebote z. B. in der Nachsorge vorhalten. </w:t>
      </w:r>
    </w:p>
    <w:p w:rsidR="007F452D" w:rsidRDefault="007F452D">
      <w:pPr>
        <w:shd w:val="clear" w:color="auto" w:fill="FFFFFF"/>
        <w:spacing w:after="0" w:line="240" w:lineRule="auto"/>
        <w:contextualSpacing/>
        <w:jc w:val="both"/>
        <w:rPr>
          <w:rFonts w:ascii="Arial" w:hAnsi="Arial" w:cs="Arial"/>
          <w:sz w:val="24"/>
          <w:szCs w:val="24"/>
        </w:rPr>
      </w:pPr>
    </w:p>
    <w:p w:rsidR="007F452D" w:rsidRDefault="006007DF">
      <w:pPr>
        <w:shd w:val="clear" w:color="auto" w:fill="FFFFFF"/>
        <w:spacing w:after="0" w:line="240" w:lineRule="auto"/>
        <w:contextualSpacing/>
        <w:jc w:val="both"/>
        <w:rPr>
          <w:rFonts w:ascii="Arial" w:eastAsia="Times New Roman" w:hAnsi="Arial" w:cs="Arial"/>
          <w:sz w:val="24"/>
          <w:szCs w:val="24"/>
        </w:rPr>
      </w:pPr>
      <w:r>
        <w:rPr>
          <w:rFonts w:ascii="Arial" w:hAnsi="Arial" w:cs="Arial"/>
          <w:sz w:val="24"/>
          <w:szCs w:val="24"/>
        </w:rPr>
        <w:t>K</w:t>
      </w:r>
      <w:r>
        <w:rPr>
          <w:rFonts w:ascii="Arial" w:eastAsia="Times New Roman" w:hAnsi="Arial" w:cs="Arial"/>
          <w:sz w:val="24"/>
          <w:szCs w:val="24"/>
        </w:rPr>
        <w:t>ünftig sollen Pflegepersonalkosten besser und unabhängig von Fallpauschalen vergütet werden. Die Krankenhausvergütung wird auf eine Kombination von Fallpauschalen und einer Pflegepersonalkostenvergütung umgestellt. Die Pflegepersonalkostenvergütung berücksichtigt die Aufwendungen für den krankenhausindividuellen Pflegepersonalbedarf. Die DRG-Berechnungen werden um die Pflegepersonalkosten bereinigt.</w:t>
      </w:r>
    </w:p>
    <w:p w:rsidR="007F452D" w:rsidRDefault="007F452D">
      <w:pPr>
        <w:pStyle w:val="s3"/>
        <w:spacing w:before="0" w:beforeAutospacing="0" w:after="0" w:afterAutospacing="0"/>
        <w:contextualSpacing/>
        <w:jc w:val="both"/>
        <w:rPr>
          <w:rFonts w:ascii="Arial" w:hAnsi="Arial" w:cs="Arial"/>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werden die bereits eingeleiteten Verbesserungen der Versorgung psychisch Kranker mit Nachdruck umsetzen, insbesondere die Schaffung einheitlicher und hinreichender Personalstandards sowie die Einführung stationsersetzender Leistungen.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Eine qualitativ hochwertige Geburtshilfe auch durch Belegärztinnen und -ärzte ist uns ein Anliegen. Wir werden die Finanzierungsgrundlagen dazu überprüfen.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Zahl der Organspenden in Deutschland erhöhen. Dazu werden wir eine verbindliche Freistellungsregelung für Transplantationsbeauftragte schaffen und diese finanzieren. Die Organentnahme wird höher vergütet.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Zur Infektionsprävention und -bekämpfung wird das Hygienesonderprogramm für Krankenhäuser verlängert und evaluiert.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Zur Verbesserung der Notfallversorgung wird eine gemeinsame Sicherstellung der Notfallversorgung von Landeskrankenhausgesellschaften und Kassenärztlichen Vereinigungen in gemeinsamer Finanzierungsverantwortung geschaffen. Dazu sind Notfallleitstellen und integrierte Notfallzentren aufzubauen.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Gesundheitsberufe</w:t>
      </w:r>
    </w:p>
    <w:p w:rsidR="007F452D" w:rsidRDefault="006007DF">
      <w:pPr>
        <w:pStyle w:val="s3"/>
        <w:spacing w:before="0" w:beforeAutospacing="0" w:after="0" w:afterAutospacing="0"/>
        <w:contextualSpacing/>
        <w:jc w:val="both"/>
        <w:rPr>
          <w:rStyle w:val="s4"/>
          <w:rFonts w:ascii="Arial" w:hAnsi="Arial" w:cs="Arial"/>
        </w:rPr>
      </w:pPr>
      <w:r>
        <w:rPr>
          <w:rStyle w:val="s4"/>
          <w:rFonts w:ascii="Arial" w:hAnsi="Arial" w:cs="Arial"/>
        </w:rPr>
        <w:t>Stärken unseres Gesundheitswesens sind die Freiberuflichkeit der Heilberufe, freie Arzt- und Krankenhauswahl, die Therapiefreiheit und gut qualifizierte Gesundheitsberufe.</w:t>
      </w:r>
    </w:p>
    <w:p w:rsidR="007F452D" w:rsidRDefault="007F452D">
      <w:pPr>
        <w:pStyle w:val="s3"/>
        <w:spacing w:before="0" w:beforeAutospacing="0" w:after="0" w:afterAutospacing="0"/>
        <w:contextualSpacing/>
        <w:jc w:val="both"/>
        <w:rPr>
          <w:rStyle w:val="s4"/>
          <w:rFonts w:ascii="Arial" w:hAnsi="Arial" w:cs="Arial"/>
        </w:rPr>
      </w:pPr>
    </w:p>
    <w:p w:rsidR="007F452D" w:rsidRDefault="006007DF">
      <w:pPr>
        <w:autoSpaceDE w:val="0"/>
        <w:autoSpaceDN w:val="0"/>
        <w:adjustRightInd w:val="0"/>
        <w:spacing w:after="0" w:line="240" w:lineRule="auto"/>
        <w:contextualSpacing/>
        <w:jc w:val="both"/>
        <w:rPr>
          <w:rStyle w:val="s4"/>
          <w:rFonts w:ascii="Arial" w:hAnsi="Arial" w:cs="Arial"/>
          <w:sz w:val="24"/>
          <w:szCs w:val="24"/>
        </w:rPr>
      </w:pPr>
      <w:r>
        <w:rPr>
          <w:rStyle w:val="s4"/>
          <w:rFonts w:ascii="Arial" w:hAnsi="Arial" w:cs="Arial"/>
          <w:sz w:val="24"/>
          <w:szCs w:val="24"/>
        </w:rPr>
        <w:t xml:space="preserve">Wir legen auch in Zukunft Wert darauf, hoch motivierten und hervorragend ausgebildeten Nachwuchs in den Gesundheitsberufen zu gewinnen. Dazu müssen wir attraktive Ausbildungsmöglichkeiten schaffen. Den Masterplan Medizinstudium 2020 wollen wir insbesondere im Hinblick auf die Neuregelung des Studienzugangs, die Stärkung der Allgemeinmedizin sowie die Landarztquote zügig umsetzen. Dazu gehören auch mehr Medizinstudienplätze. </w:t>
      </w:r>
    </w:p>
    <w:p w:rsidR="007F452D" w:rsidRDefault="007F452D">
      <w:pPr>
        <w:autoSpaceDE w:val="0"/>
        <w:autoSpaceDN w:val="0"/>
        <w:adjustRightInd w:val="0"/>
        <w:spacing w:after="0" w:line="240" w:lineRule="auto"/>
        <w:contextualSpacing/>
        <w:jc w:val="both"/>
        <w:rPr>
          <w:rStyle w:val="s4"/>
          <w:rFonts w:ascii="Arial" w:hAnsi="Arial" w:cs="Arial"/>
          <w:sz w:val="24"/>
          <w:szCs w:val="24"/>
        </w:rPr>
      </w:pPr>
    </w:p>
    <w:p w:rsidR="007F452D" w:rsidRDefault="006007DF">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Um die ärztliche Tätigkeit im ländlichen Raum zu fördern, werden zudem an medizinischen Fakultäten modellhaft neue Unterrichtskonzepte als Schwerpunkt- bzw. Vertiefungsprogramme gefördert und evaluiert</w:t>
      </w:r>
      <w:r>
        <w:rPr>
          <w:rFonts w:ascii="Arial" w:eastAsia="Times New Roman" w:hAnsi="Arial" w:cs="Arial"/>
          <w:b/>
          <w:bCs/>
          <w:sz w:val="24"/>
          <w:szCs w:val="24"/>
        </w:rPr>
        <w:t>.</w:t>
      </w:r>
      <w:r>
        <w:rPr>
          <w:rFonts w:ascii="Arial" w:eastAsia="Times New Roman" w:hAnsi="Arial" w:cs="Arial"/>
          <w:sz w:val="24"/>
          <w:szCs w:val="24"/>
        </w:rPr>
        <w:t xml:space="preserve"> </w:t>
      </w:r>
      <w:r>
        <w:rPr>
          <w:rFonts w:ascii="Arial" w:eastAsia="Times New Roman" w:hAnsi="Arial" w:cs="Arial"/>
          <w:bCs/>
          <w:sz w:val="24"/>
          <w:szCs w:val="24"/>
        </w:rPr>
        <w:t>Lücken in der Weiterbildung der Allgemeinmedizin werden ebenso evaluiert und geschlossen. Darüber hinaus werden wir zusätzliche Anreize zur Qualifizierung von Weiterbildern durch die regionalen Kompetenzzentren Weiterbildung Allgemeinmedizin setzen.</w:t>
      </w:r>
    </w:p>
    <w:p w:rsidR="007F452D" w:rsidRDefault="007F452D">
      <w:pPr>
        <w:spacing w:after="0" w:line="240" w:lineRule="auto"/>
        <w:contextualSpacing/>
        <w:jc w:val="both"/>
        <w:rPr>
          <w:rFonts w:ascii="Arial" w:eastAsia="Times New Roman" w:hAnsi="Arial" w:cs="Arial"/>
          <w:bCs/>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Der Öffentliche Gesundheitsdienst ist eine wichtige Säule des Gesundheitswesens, insbesondere bei der Prävention und Gesundheitsförderung. Wir stehen für eine Stärkung des Öffentlichen Gesundheitsdienstes ein.</w:t>
      </w:r>
    </w:p>
    <w:p w:rsidR="007F452D" w:rsidRDefault="007F452D">
      <w:pPr>
        <w:spacing w:after="0" w:line="240" w:lineRule="auto"/>
        <w:contextualSpacing/>
        <w:jc w:val="both"/>
        <w:rPr>
          <w:rStyle w:val="s4"/>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lang w:eastAsia="zh-CN"/>
        </w:rPr>
        <w:t>Die Ausbildungs- und Prüfungsverordnung sowie die Finanzierungsverordnung des Pflegeberufegesetzes werden zeitnah vorgelegt.</w:t>
      </w:r>
    </w:p>
    <w:p w:rsidR="007F452D" w:rsidRDefault="007F452D">
      <w:pPr>
        <w:spacing w:after="0" w:line="240" w:lineRule="auto"/>
        <w:contextualSpacing/>
        <w:jc w:val="both"/>
        <w:rPr>
          <w:rStyle w:val="s4"/>
          <w:rFonts w:ascii="Arial" w:hAnsi="Arial" w:cs="Arial"/>
          <w:sz w:val="24"/>
          <w:szCs w:val="24"/>
        </w:rPr>
      </w:pPr>
    </w:p>
    <w:p w:rsidR="007F452D" w:rsidRDefault="006007DF">
      <w:pPr>
        <w:autoSpaceDE w:val="0"/>
        <w:autoSpaceDN w:val="0"/>
        <w:adjustRightInd w:val="0"/>
        <w:spacing w:after="0" w:line="240" w:lineRule="auto"/>
        <w:contextualSpacing/>
        <w:jc w:val="both"/>
        <w:rPr>
          <w:rFonts w:ascii="Arial" w:hAnsi="Arial" w:cs="Arial"/>
          <w:sz w:val="24"/>
          <w:szCs w:val="24"/>
        </w:rPr>
      </w:pPr>
      <w:r>
        <w:rPr>
          <w:rStyle w:val="s4"/>
          <w:rFonts w:ascii="Arial" w:hAnsi="Arial" w:cs="Arial"/>
          <w:sz w:val="24"/>
          <w:szCs w:val="24"/>
        </w:rPr>
        <w:t xml:space="preserve">Wir werden die Ausbildung der Gesundheitsfachberufe im Rahmen eines Gesamtkonzeptes neu ordnen und stärken. </w:t>
      </w:r>
      <w:r>
        <w:rPr>
          <w:rFonts w:ascii="Arial" w:hAnsi="Arial" w:cs="Arial"/>
          <w:sz w:val="24"/>
          <w:szCs w:val="24"/>
        </w:rPr>
        <w:t xml:space="preserve">Wir wollen das Schulgeld für die Ausbildung in den Gesundheitsfachberufen abschaffen, so wie es in den Pflegeberufen bereits beschlossen wurde. </w:t>
      </w:r>
      <w:r>
        <w:rPr>
          <w:rStyle w:val="s4"/>
          <w:rFonts w:ascii="Arial" w:hAnsi="Arial" w:cs="Arial"/>
          <w:sz w:val="24"/>
          <w:szCs w:val="24"/>
        </w:rPr>
        <w:t xml:space="preserve">Wir werden die Hebammenausbildung nach den EU-Vorgaben als akademischen Beruf umsetzen. Die Novellierungen der Ausbildung der bisherigen </w:t>
      </w:r>
      <w:r>
        <w:rPr>
          <w:rStyle w:val="s4"/>
          <w:rFonts w:ascii="Arial" w:hAnsi="Arial" w:cs="Arial"/>
          <w:sz w:val="24"/>
          <w:szCs w:val="24"/>
        </w:rPr>
        <w:lastRenderedPageBreak/>
        <w:t>psychologischen Psychotherapeuten in Form einer Direktausbildung und der Approbationsordnung für Zahnärzte werden wir zügig abschließen.</w:t>
      </w:r>
    </w:p>
    <w:p w:rsidR="007F452D" w:rsidRDefault="007F452D">
      <w:pPr>
        <w:pStyle w:val="s3"/>
        <w:spacing w:before="0" w:beforeAutospacing="0" w:after="0" w:afterAutospacing="0"/>
        <w:contextualSpacing/>
        <w:jc w:val="both"/>
        <w:rPr>
          <w:rStyle w:val="s4"/>
          <w:rFonts w:ascii="Arial" w:hAnsi="Arial" w:cs="Arial"/>
        </w:rPr>
      </w:pPr>
    </w:p>
    <w:p w:rsidR="007F452D" w:rsidRDefault="006007DF">
      <w:pPr>
        <w:pStyle w:val="s3"/>
        <w:spacing w:before="0" w:beforeAutospacing="0" w:after="0" w:afterAutospacing="0"/>
        <w:contextualSpacing/>
        <w:jc w:val="both"/>
        <w:rPr>
          <w:rFonts w:ascii="Arial" w:hAnsi="Arial" w:cs="Arial"/>
        </w:rPr>
      </w:pPr>
      <w:r>
        <w:rPr>
          <w:rStyle w:val="s4"/>
          <w:rFonts w:ascii="Arial" w:hAnsi="Arial" w:cs="Arial"/>
        </w:rPr>
        <w:t>Für die zukünftigen Herausforderungen des Gesundheitswesens ist die Aufgabenverteilung der Gesundheitsberufe neu zu justieren und den Gesundheitsfachberufen mehr Verantwortung zu übertragen. Die Ergebnisse der Modellprojekte der Heilberufe werden wir berücksichtigen. Im Sinne einer verstärkten Patientensicherheit wollen wir das Spektrum der heilpraktischen Behandlung überprüfen.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Prävention</w:t>
      </w:r>
    </w:p>
    <w:p w:rsidR="007F452D" w:rsidRDefault="006007DF">
      <w:pPr>
        <w:tabs>
          <w:tab w:val="left" w:pos="2219"/>
        </w:tabs>
        <w:spacing w:after="0" w:line="240" w:lineRule="auto"/>
        <w:contextualSpacing/>
        <w:jc w:val="both"/>
        <w:rPr>
          <w:rFonts w:ascii="Arial" w:hAnsi="Arial" w:cs="Arial"/>
          <w:sz w:val="24"/>
          <w:szCs w:val="24"/>
        </w:rPr>
      </w:pPr>
      <w:r>
        <w:rPr>
          <w:rFonts w:ascii="Arial" w:hAnsi="Arial" w:cs="Arial"/>
          <w:sz w:val="24"/>
          <w:szCs w:val="24"/>
        </w:rPr>
        <w:t xml:space="preserve">Wir wollen die Gesundheitskompetenz der Bevölkerung und die Prävention in allen Lebensbereichen deutlich stärken. Auf Grundlage des Berichtes der Nationalen Präventionskonferenz und der anschließenden Beratungen im Deutschen Bundestag werden wir ein Eckpunktepapier zur Weiterentwicklung des Präventionsgesetzes vorlegen. </w:t>
      </w:r>
    </w:p>
    <w:p w:rsidR="007F452D" w:rsidRDefault="007F452D">
      <w:pPr>
        <w:tabs>
          <w:tab w:val="left" w:pos="2219"/>
        </w:tab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Mit einem Nationalen Gesundheitsportal wollen wir, dass sich die Patientinnen und Patienten verlässlich schnell und umfassend im Internet über medizinische Fragestellungen und Strukturen unseres Gesundheitswesens informieren können.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Patientenrechte stärken. Dazu werden wir Vorschläge für einen Patientenentschädigungsfonds für Schäden in Härtefällen, bei denen die bestehenden Haftungsregelungen nicht greifen, prüfen.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weitere Maßnahmen ergreifen, um die notwendigen Impfquoten zum Schutz der Bevölkerung zu erreichen.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Weitere Schwerpunkte werden in der Prävention chronischer Erkrankungen, insbesondere in der Entwicklung einer nationalen Strategie zur Reduzierung von Übergewicht vor allem bei Kindern und Jugendlichen liegen. Wir werden Drogenmissbrauch weiterhin bekämpfen und dabei auch unsere Maßnahmen zur Tabak- und Alkohol-prävention gezielt ergänzen. Dabei ist uns das Wohl der Kinder von Suchtkranken besonders wichtig.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Forschung im Bereich der Kinder- und Jugendmedizin fördern.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uns weiterhin für eine Reduzierung des Antibiotikaverbrauchs und der Verhinderung von Antibiotikaresistenzen einsetzen und dies zusätzlich durch Forschung unterstützen.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E-Health und Gesundheitswirtschaft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Digitalisierung des Gesundheitswesens ist eine der größten Herausforderung des Gesundheitswesens in den nächsten Jahren.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Telematikinfrastruktur weiter ausbauen und eine elektronische Patientenakte für alle Versicherten in dieser Legislaturperiode einführen. Wir wollen neue Zulassungswege für digitale Anwendungen schaffen, die Interoperabilität herstellen und die digitale Sicherheit im Gesundheitswesen stärken. Die einschränkenden Regelungen zur Fernbehandlung werden wir auf den Prüfstand stellen. Auch die pflegerische Versorgung wollen wir mit den Möglichkeiten der Digitalisierung weiterentwickeln, so dass sowohl Pflegekräfte als auch pflegebedürftige Menschen Informations- </w:t>
      </w:r>
      <w:r>
        <w:rPr>
          <w:rFonts w:ascii="Arial" w:hAnsi="Arial" w:cs="Arial"/>
          <w:sz w:val="24"/>
          <w:szCs w:val="24"/>
        </w:rPr>
        <w:lastRenderedPageBreak/>
        <w:t>und Kommunikationstechnologien sowie neue technische Anwendungen besser nutzen können. Dazu gehört auch, die Pflege in die Telematikinfrastruktur einzubeziehen. Ziel ist zudem, Bürokratie in Diagnostik und Dokumentation abzubauen.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Anwendung und Abrechenbarkeit telemedizinischer Leistungen soll ausgebaut werden. Es wird sichergestellt, dass die Datenspeicherung den strengen Anforderungen des Datenschutzes unterliegt. Die gespeicherten Daten sind Eigentum der Patientinnen und Patienten.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E-Health-Initiative und den Strategieprozess Medizintechnik weiterführen, um Deutschland als Standort der Gesundheitswirtschaft nachhaltig und zukunftsorientiert zu gestalten. Wir werden auch den Pharma-Dialog unter Einbeziehung der Regierungsfraktionen des Deutschen Bundestags fortsetzen.</w:t>
      </w:r>
    </w:p>
    <w:p w:rsidR="007F452D" w:rsidRDefault="007F452D">
      <w:pPr>
        <w:pStyle w:val="s3"/>
        <w:spacing w:before="0" w:beforeAutospacing="0" w:after="0" w:afterAutospacing="0"/>
        <w:contextualSpacing/>
        <w:jc w:val="both"/>
        <w:rPr>
          <w:rFonts w:ascii="Arial" w:hAnsi="Arial" w:cs="Arial"/>
        </w:rPr>
      </w:pPr>
    </w:p>
    <w:p w:rsidR="007F452D" w:rsidRDefault="006007DF">
      <w:pPr>
        <w:pStyle w:val="s3"/>
        <w:spacing w:before="0" w:beforeAutospacing="0" w:after="0" w:afterAutospacing="0"/>
        <w:contextualSpacing/>
        <w:jc w:val="both"/>
        <w:rPr>
          <w:rFonts w:ascii="Arial" w:hAnsi="Arial" w:cs="Arial"/>
        </w:rPr>
      </w:pPr>
      <w:r>
        <w:rPr>
          <w:rFonts w:ascii="Arial" w:hAnsi="Arial" w:cs="Arial"/>
        </w:rPr>
        <w:t>Wir werden den Aktionsplan zur Verbesserung der Arzneimitteltherapiesicherheit in Deutschland (AMTS) entschlossen umsetzen und die Fälschungssicherheit von Arzneimitteln verbessern. Wir wollen die Arzneimittelsicherheit durch weitere Maßnahmen von der Produktion über den Transport bis zum Endverbraucher gewährleisten.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Globale Gesundheit</w:t>
      </w:r>
    </w:p>
    <w:p w:rsidR="007F452D" w:rsidRDefault="006007D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Deutschland wird eine Strategie zur globalen Gesundheitspolitik erarbeiten, um noch stärker seiner internationalen Verantwortung gerecht zu werden. Schwerpunkte werden die Gesundheitssicherheit und die Prävention von internationalen Pandemien sowie Stärkung von Gesundheitssystemen in Entwicklungsländern sein. Dafür werden wir internationale Kooperationen und strategische Partnerschaften weiter aufbauen und ausbauen. Außerdem gilt es, die WHO zu stärken, indem wir auch den Reformprozess in der WHO unterstützen.</w:t>
      </w:r>
    </w:p>
    <w:p w:rsidR="007F452D" w:rsidRDefault="007F452D">
      <w:pPr>
        <w:spacing w:after="0" w:line="240" w:lineRule="auto"/>
        <w:contextualSpacing/>
        <w:jc w:val="both"/>
        <w:rPr>
          <w:rFonts w:ascii="Arial" w:eastAsia="Times New Roman" w:hAnsi="Arial" w:cs="Arial"/>
          <w:sz w:val="24"/>
          <w:szCs w:val="24"/>
          <w:lang w:eastAsia="de-DE"/>
        </w:rPr>
      </w:pPr>
    </w:p>
    <w:p w:rsidR="007F452D" w:rsidRDefault="006007DF">
      <w:pPr>
        <w:pStyle w:val="berschrift3"/>
        <w:contextualSpacing/>
        <w:rPr>
          <w:rFonts w:cs="Arial"/>
          <w:szCs w:val="24"/>
        </w:rPr>
      </w:pPr>
      <w:r>
        <w:rPr>
          <w:rFonts w:cs="Arial"/>
          <w:szCs w:val="24"/>
        </w:rPr>
        <w:t>Finanzierung</w:t>
      </w:r>
    </w:p>
    <w:p w:rsidR="007F452D" w:rsidRDefault="006007DF">
      <w:pPr>
        <w:autoSpaceDE w:val="0"/>
        <w:autoSpaceDN w:val="0"/>
        <w:adjustRightInd w:val="0"/>
        <w:spacing w:after="0" w:line="240" w:lineRule="auto"/>
        <w:contextualSpacing/>
        <w:jc w:val="both"/>
        <w:rPr>
          <w:rFonts w:ascii="Arial" w:hAnsi="Arial" w:cs="Arial"/>
          <w:sz w:val="24"/>
          <w:szCs w:val="24"/>
          <w:highlight w:val="yellow"/>
        </w:rPr>
      </w:pPr>
      <w:r>
        <w:rPr>
          <w:rFonts w:ascii="Arial" w:hAnsi="Arial" w:cs="Arial"/>
          <w:sz w:val="24"/>
          <w:szCs w:val="24"/>
        </w:rPr>
        <w:t xml:space="preserve">Wir werden die Parität bei den Beiträgen zur Gesetzlichen Krankenversicherung wiederherstellen. Ab 1. Januar 2019 werden die Beiträge zur Krankenversicherung wieder in gleichem Maße von Arbeitgebern und Beschäftigten geleistet. Der bisherige Zusatzbeitrag wird paritätisch finanziert. </w:t>
      </w:r>
    </w:p>
    <w:p w:rsidR="007F452D" w:rsidRDefault="007F452D">
      <w:pPr>
        <w:autoSpaceDE w:val="0"/>
        <w:autoSpaceDN w:val="0"/>
        <w:adjustRightInd w:val="0"/>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die schrittweise Einführung von kostendeckenden Beiträgen zur Gesetzlichen Krankenversicherung für die Bezieher von ALG II aus Steuermitteln finanzieren.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kleine Selbst</w:t>
      </w:r>
      <w:r w:rsidR="009863D9">
        <w:rPr>
          <w:rFonts w:ascii="Arial" w:hAnsi="Arial" w:cs="Arial"/>
          <w:sz w:val="24"/>
          <w:szCs w:val="24"/>
        </w:rPr>
        <w:t>st</w:t>
      </w:r>
      <w:r>
        <w:rPr>
          <w:rFonts w:ascii="Arial" w:hAnsi="Arial" w:cs="Arial"/>
          <w:sz w:val="24"/>
          <w:szCs w:val="24"/>
        </w:rPr>
        <w:t>ändige zu entlasten, werden wir die Bemessungsgrundlage für die Mindestkrankenversicherungsbeiträge von heute 2283,75 Euro auf 1150 Euro nahezu halbieren.</w:t>
      </w:r>
    </w:p>
    <w:p w:rsidR="007F452D" w:rsidRDefault="007F452D">
      <w:pPr>
        <w:spacing w:after="0" w:line="240" w:lineRule="auto"/>
        <w:contextualSpacing/>
        <w:jc w:val="both"/>
        <w:rPr>
          <w:rStyle w:val="Fett"/>
          <w:rFonts w:ascii="Arial" w:hAnsi="Arial" w:cs="Arial"/>
          <w:sz w:val="24"/>
          <w:szCs w:val="24"/>
        </w:rPr>
      </w:pPr>
    </w:p>
    <w:p w:rsidR="00F709A3" w:rsidRDefault="006007DF" w:rsidP="00F709A3">
      <w:pPr>
        <w:spacing w:after="0" w:line="240" w:lineRule="auto"/>
        <w:contextualSpacing/>
        <w:jc w:val="both"/>
        <w:rPr>
          <w:rFonts w:ascii="Arial" w:eastAsiaTheme="majorEastAsia" w:hAnsi="Arial" w:cs="Arial"/>
          <w:b/>
          <w:bCs/>
          <w:sz w:val="24"/>
          <w:szCs w:val="24"/>
        </w:rPr>
      </w:pPr>
      <w:r>
        <w:rPr>
          <w:rStyle w:val="Fett"/>
          <w:rFonts w:ascii="Arial" w:hAnsi="Arial" w:cs="Arial"/>
          <w:sz w:val="24"/>
          <w:szCs w:val="24"/>
        </w:rPr>
        <w:t>Unter Berücksichtigung der Gutachten des Expertenbeirats des Bundesversicherungsamtes (BVA) werden wir den morbiditätsorientierten Risikostrukturausgleich mit dem Ziel eines fairen Wettbewerbs weiterentwickeln und ihn vor Manipulation schützen. Es wird eine regelmäßige gutachterliche Überprüfung gesetzlich festgelegt.</w:t>
      </w:r>
      <w:bookmarkStart w:id="42" w:name="_Toc505767167"/>
      <w:r w:rsidR="00F709A3">
        <w:br w:type="page"/>
      </w:r>
    </w:p>
    <w:p w:rsidR="007F452D" w:rsidRDefault="006007DF">
      <w:pPr>
        <w:pStyle w:val="berschrift1"/>
        <w:numPr>
          <w:ilvl w:val="0"/>
          <w:numId w:val="8"/>
        </w:numPr>
        <w:ind w:left="567" w:hanging="141"/>
        <w:contextualSpacing/>
      </w:pPr>
      <w:r>
        <w:lastRenderedPageBreak/>
        <w:t>Zuwanderung steuern – Integration fordern und unterstützen</w:t>
      </w:r>
      <w:bookmarkEnd w:id="42"/>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22"/>
        </w:numPr>
      </w:pPr>
      <w:bookmarkStart w:id="43" w:name="_Toc505767168"/>
      <w:r>
        <w:t>Flüchtlingspolitik</w:t>
      </w:r>
      <w:bookmarkEnd w:id="43"/>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Deutschland bekennt sich zu seinen bestehenden rechtlichen und humanitären Verpflichtungen. Wir werden das </w:t>
      </w:r>
      <w:r>
        <w:rPr>
          <w:rFonts w:ascii="Arial" w:hAnsi="Arial" w:cs="Arial"/>
          <w:bCs/>
          <w:sz w:val="24"/>
          <w:szCs w:val="24"/>
        </w:rPr>
        <w:t xml:space="preserve">Grundrecht auf Asyl nicht antasten: </w:t>
      </w:r>
      <w:r>
        <w:rPr>
          <w:rFonts w:ascii="Arial" w:hAnsi="Arial" w:cs="Arial"/>
          <w:sz w:val="24"/>
          <w:szCs w:val="24"/>
        </w:rPr>
        <w:t>Wir bekennen uns strikt zum Recht auf Asyl und zum Grundwertekatalog im Grundgesetz, zur Genfer Flüchtlingskonvention</w:t>
      </w:r>
      <w:r w:rsidR="00532129">
        <w:rPr>
          <w:rFonts w:ascii="Arial" w:hAnsi="Arial" w:cs="Arial"/>
          <w:sz w:val="24"/>
          <w:szCs w:val="24"/>
        </w:rPr>
        <w:t xml:space="preserve"> (GFK)</w:t>
      </w:r>
      <w:r>
        <w:rPr>
          <w:rFonts w:ascii="Arial" w:hAnsi="Arial" w:cs="Arial"/>
          <w:sz w:val="24"/>
          <w:szCs w:val="24"/>
        </w:rPr>
        <w:t>, zu den aus dem Recht der EU resultierenden Verpflichtungen zur Bearbeitung jedes Asylantrags sowie zur UN-Kinderrechtskonvention und zur Europäischen Menschenrechtskonvention.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sind stolz auf die Integrationsleistung unseres Landes, insbesondere auf das vielfältige ehrenamtliche Engagement in den Städten und Gemeinden. Wir sind uns darüber einig, dass die Integrationsfähigkeit unserer Gesellschaft nicht überfordert werden darf. Integrationsfähigkeit bemisst sich dabei nicht nur daran, wie die Aufnahme und Integration zugewanderter Menschen in die Gesellschaft gelingt, vielmehr beinhaltet sie auch unseren Anspruch, die Lebensbedingungen der hier lebenden Menschen gerade angesichts der zu bewältigenden Zuwanderung zu berücksichtigen (z. B. Versorgung mit Kita-Plätzen, Schulen, Wohnungen).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Deswegen setzen wir unsere Anstrengungen fort, die Migrationsbewegungen nach Deutschland und Europa angemessen mit Blick auf die Integrationsfähigkeit der Gesellschaft zu steuern und zu begrenzen, damit sich eine Situation wie 2015 nicht wiederholt.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Bezogen auf die durchschnittlichen Zuwanderungszahlen, die Erfahrungen der letzten zwanzig Jahre sowie mit Blick auf die vereinbarten Maßnahmen und den unmittelbar steuerbaren Teil der Zuwanderung – das Grundrecht auf Asyl und die Genfer Flüchtlingskonvention bleiben unangetastet – stellen wir fest, dass die Zuwanderungszahlen (inklusive Kriegsflüchtlinge, vorübergehend Schutzberechtigte, Familiennachzügler, Relocation, Resettlement, abzüglich Rückführungen und freiwilligen Ausreisen künftiger Flüchtlinge und ohne Erwerbsmigration) die Spanne von jährlich 180 000 bis 220 000 nicht übersteigen werden. Dem dient auch das nachfolgende Maßnahmenpaket.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Es soll eine Fachkommission der Bundesregierung eingesetzt werden, die sich mit den Rahmenbedingungen der Integrationsfähigkeit befasst und einen entsprechenden Bericht dem Deutschen Bundestag zuleitet. Wir stärken die Migrations- und Integrationsforschung.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bCs/>
          <w:sz w:val="24"/>
          <w:szCs w:val="24"/>
        </w:rPr>
      </w:pPr>
      <w:r>
        <w:rPr>
          <w:rFonts w:ascii="Arial" w:hAnsi="Arial" w:cs="Arial"/>
          <w:bCs/>
          <w:sz w:val="24"/>
          <w:szCs w:val="24"/>
        </w:rPr>
        <w:t>Wir wollen Fluchtursachen bekämpfen, nicht die Flüchtlinge.</w:t>
      </w:r>
    </w:p>
    <w:p w:rsidR="007F452D" w:rsidRDefault="007F452D">
      <w:pPr>
        <w:spacing w:after="0" w:line="240" w:lineRule="auto"/>
        <w:contextualSpacing/>
        <w:jc w:val="both"/>
        <w:rPr>
          <w:rFonts w:ascii="Arial" w:hAnsi="Arial" w:cs="Arial"/>
          <w:bCs/>
          <w:sz w:val="24"/>
          <w:szCs w:val="24"/>
        </w:rPr>
      </w:pPr>
    </w:p>
    <w:p w:rsidR="007F452D" w:rsidRDefault="006007DF">
      <w:pPr>
        <w:spacing w:after="0" w:line="240" w:lineRule="auto"/>
        <w:contextualSpacing/>
        <w:jc w:val="both"/>
        <w:rPr>
          <w:rFonts w:ascii="Arial" w:hAnsi="Arial" w:cs="Arial"/>
          <w:bCs/>
          <w:sz w:val="24"/>
          <w:szCs w:val="24"/>
        </w:rPr>
      </w:pPr>
      <w:r>
        <w:rPr>
          <w:rFonts w:ascii="Arial" w:hAnsi="Arial" w:cs="Arial"/>
          <w:bCs/>
          <w:sz w:val="24"/>
          <w:szCs w:val="24"/>
        </w:rPr>
        <w:t>Dazu wollen wir:</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die Entwicklungszusammenarbeit verbessern;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den Ausbau humanitären Engagements; UNHCR und World Food Programme (WFP) angemessen ausstatten und für eine kontinuierliche Finanzierung sorgen;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das Engagement für Friedenssicherung ausweiten (u. a. Stärkung internationaler Polizeimissionen);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eine faire Handels- und Landwirtschaftspolitik (faire Handelsabkommen);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einen verstärkten Klimaschutz;</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eine restriktive Rüstungsexportpolitik.</w:t>
      </w:r>
    </w:p>
    <w:p w:rsidR="007F452D" w:rsidRDefault="007F452D">
      <w:pPr>
        <w:spacing w:after="0" w:line="240" w:lineRule="auto"/>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werden eine Kommission „Fluchtursachen“ im Deutschen Bundestag einrichten, die der Bundesregierung und dem Bundestag konkrete Vorschläge unterbreiten soll.</w:t>
      </w:r>
    </w:p>
    <w:p w:rsidR="007F452D" w:rsidRDefault="007F452D">
      <w:pPr>
        <w:pStyle w:val="Listenabsatz"/>
        <w:spacing w:after="0" w:line="240" w:lineRule="auto"/>
        <w:ind w:left="0"/>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treten für ein gemeinsames europäisches Asylsystem ein und beteiligen uns daher aktiv am Prozess der Reform des Dublin-Verfahrens. Ein fairer Verteilmechanismus für Schutzbedürftige, die Frage der Menschenrechte in Drittstaaten sowie das Prinzip der Zuständigkeit des Ersteinreiselandes für Asylbewerber müssen hierbei eine übergeordnete Rolle spielen. Dabei muss klar sein, dass eine unbefristete Berufung auf einen anderen Staat der Ersteinreise ausscheidet. Bei der Ausgestaltung des Selbsteintrittsrechts wird die Frage der Herstellung der Einheit der Kernfamilie zu berücksichtigen sein. Damit eine Verteilung in der Praxis funktioniert, muss es wirksame Mechanismen zur Verhinderung von Sekundärmigration geben. </w:t>
      </w:r>
      <w:bookmarkStart w:id="44" w:name="_MailEndCompose"/>
      <w:r>
        <w:rPr>
          <w:rFonts w:ascii="Arial" w:hAnsi="Arial" w:cs="Arial"/>
          <w:sz w:val="24"/>
          <w:szCs w:val="24"/>
        </w:rPr>
        <w:t>Dazu wollen wir insbesondere die Asylverfahren einschließlich der Standards bei der Versorgung und Unterbringung von Asylbewerbern harmonisieren und dafür sorgen, dass volle Leistungen nur noch im zugewiesenen EU-Mitgliedstaat gewährt werden</w:t>
      </w:r>
      <w:bookmarkEnd w:id="44"/>
      <w:r>
        <w:rPr>
          <w:rFonts w:ascii="Arial" w:hAnsi="Arial" w:cs="Arial"/>
          <w:sz w:val="24"/>
          <w:szCs w:val="24"/>
        </w:rPr>
        <w:t>. In diesem Sinne wird sich die Bundesregierung in den Verhandlungen auf EU-Ebene abgestimmt positionieren. Dies gilt auch für eine gemeinsame Durchführung von Asylverfahren überwiegend an den Außengrenzen sowie gemeinsame Rückführungen von dort. Dabei werden europäische Menschenrechtsstandards eingehalten.</w:t>
      </w:r>
    </w:p>
    <w:p w:rsidR="007F452D" w:rsidRDefault="007F452D">
      <w:pPr>
        <w:pStyle w:val="Listenabsatz"/>
        <w:spacing w:after="0" w:line="240" w:lineRule="auto"/>
        <w:ind w:left="0"/>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unterstützen eine Politik der EU, die verhindern soll, dass kriminelle Schlepper und Schleuser entscheiden, wer nach Europa kommt. Wir wollen Anreize ausschließen, die dadurch entstehen, dass Minderjährige von ihren Eltern unter Gefährdung des Kindeswohls zukünftig auf die gefährliche Reise vorgeschickt werden.</w:t>
      </w:r>
    </w:p>
    <w:p w:rsidR="007F452D" w:rsidRDefault="007F452D">
      <w:pPr>
        <w:spacing w:after="0" w:line="240" w:lineRule="auto"/>
        <w:contextualSpacing/>
        <w:jc w:val="both"/>
        <w:rPr>
          <w:rFonts w:ascii="Arial" w:hAnsi="Arial" w:cs="Arial"/>
          <w:bCs/>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Zusammenarbeit mit UNHCR, IOM, Herkunfts- und Transitstaaten weiter ausbauen. Zur Sicherung der Freizügigkeit innerhalb Europas gehört ein wirksamer Schutz der europäischen Außengrenzen. Dazu wollen wir Frontex zu einer echten Grenzschutzpolizei weiterentwickeln. Bis der Schutz der EU-Außengrenzen effektiv funktioniert, sind Binnengrenzkontrollen vertretbar.</w:t>
      </w:r>
    </w:p>
    <w:p w:rsidR="007F452D" w:rsidRDefault="007F452D">
      <w:pPr>
        <w:autoSpaceDE w:val="0"/>
        <w:autoSpaceDN w:val="0"/>
        <w:spacing w:after="0" w:line="240" w:lineRule="auto"/>
        <w:contextualSpacing/>
        <w:jc w:val="both"/>
        <w:rPr>
          <w:rFonts w:ascii="Arial" w:hAnsi="Arial" w:cs="Arial"/>
          <w:sz w:val="24"/>
          <w:szCs w:val="24"/>
          <w:lang w:eastAsia="de-DE"/>
        </w:rPr>
      </w:pPr>
    </w:p>
    <w:p w:rsidR="007F452D" w:rsidRDefault="006007DF">
      <w:pPr>
        <w:autoSpaceDE w:val="0"/>
        <w:autoSpaceDN w:val="0"/>
        <w:spacing w:after="0" w:line="240" w:lineRule="auto"/>
        <w:contextualSpacing/>
        <w:jc w:val="both"/>
        <w:rPr>
          <w:rFonts w:ascii="Arial" w:hAnsi="Arial" w:cs="Arial"/>
          <w:sz w:val="24"/>
          <w:szCs w:val="24"/>
        </w:rPr>
      </w:pPr>
      <w:r>
        <w:rPr>
          <w:rFonts w:ascii="Arial" w:hAnsi="Arial" w:cs="Arial"/>
          <w:sz w:val="24"/>
          <w:szCs w:val="24"/>
          <w:lang w:eastAsia="de-DE"/>
        </w:rPr>
        <w:t xml:space="preserve">Wir unterstützen europäische Beschlüsse zur Verteilung von Flüchtlingen (Relocation) und leisten </w:t>
      </w:r>
      <w:r>
        <w:rPr>
          <w:rFonts w:ascii="Arial" w:hAnsi="Arial" w:cs="Arial"/>
          <w:sz w:val="24"/>
          <w:szCs w:val="24"/>
        </w:rPr>
        <w:t>einen angemessenen Beitrag zu Aufnahmekontingenten humanitär Schutzbedürftiger (Resettlement). Die Größenordnung dieses aus humanitären Motiven erfolgenden legalen Zugangs muss jedoch von der Größenordnung des Zugangs humanitär Schutzsuchender insgesamt abhängen.</w:t>
      </w:r>
    </w:p>
    <w:p w:rsidR="007F452D" w:rsidRDefault="007F452D">
      <w:pPr>
        <w:spacing w:after="0" w:line="240" w:lineRule="auto"/>
        <w:ind w:left="360"/>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Für die Frage des Familiennachzugs wird Bezug genommen auf das Gesetz zur Verlängerung der Aussetzung des Familiennachzugs zu subsidiär Schutzberechtigten. Das Nähere regelt ein noch zu erlassen</w:t>
      </w:r>
      <w:r>
        <w:rPr>
          <w:rFonts w:ascii="Arial" w:hAnsi="Arial" w:cs="Arial"/>
          <w:sz w:val="24"/>
          <w:szCs w:val="24"/>
          <w:lang w:eastAsia="de-DE"/>
        </w:rPr>
        <w:t>d</w:t>
      </w:r>
      <w:r>
        <w:rPr>
          <w:rFonts w:ascii="Arial" w:hAnsi="Arial" w:cs="Arial"/>
          <w:sz w:val="24"/>
          <w:szCs w:val="24"/>
        </w:rPr>
        <w:t xml:space="preserve">es Bundesgesetz.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Für diese Regelung zum Familiennachzug bei subsidiär Geschützten ab dem 1. August 2018 ist die Festsetzung erfolgt, dass der Zuzug auf 1000 Personen pro Monat begrenzt ist und die Härtefallregelung nach </w:t>
      </w:r>
      <w:r>
        <w:rPr>
          <w:rFonts w:ascii="Arial" w:hAnsi="Arial" w:cs="Arial"/>
          <w:sz w:val="24"/>
          <w:szCs w:val="24"/>
          <w:lang w:eastAsia="de-DE"/>
        </w:rPr>
        <w:t>§§ </w:t>
      </w:r>
      <w:r>
        <w:rPr>
          <w:rFonts w:ascii="Arial" w:hAnsi="Arial" w:cs="Arial"/>
          <w:sz w:val="24"/>
          <w:szCs w:val="24"/>
        </w:rPr>
        <w:t>22</w:t>
      </w:r>
      <w:r>
        <w:rPr>
          <w:rFonts w:ascii="Arial" w:hAnsi="Arial" w:cs="Arial"/>
          <w:sz w:val="24"/>
          <w:szCs w:val="24"/>
          <w:lang w:eastAsia="de-DE"/>
        </w:rPr>
        <w:t xml:space="preserve"> und </w:t>
      </w:r>
      <w:r>
        <w:rPr>
          <w:rFonts w:ascii="Arial" w:hAnsi="Arial" w:cs="Arial"/>
          <w:sz w:val="24"/>
          <w:szCs w:val="24"/>
        </w:rPr>
        <w:t>23 Aufenthaltsgesetz jenseits dieses Kontingents Anwendung findet. Die weitere Ausgestaltung des Gesetzes obliegt den Koalitionsparteien bzw. deren Bundestagsfraktionen.</w:t>
      </w:r>
    </w:p>
    <w:p w:rsidR="007F452D" w:rsidRDefault="007F452D">
      <w:pPr>
        <w:spacing w:after="0" w:line="240" w:lineRule="auto"/>
        <w:contextualSpacing/>
        <w:jc w:val="both"/>
        <w:rPr>
          <w:rFonts w:ascii="Arial" w:hAnsi="Arial" w:cs="Arial"/>
          <w:sz w:val="24"/>
          <w:szCs w:val="24"/>
        </w:rPr>
      </w:pPr>
    </w:p>
    <w:p w:rsidR="007F452D" w:rsidRDefault="006007DF">
      <w:pPr>
        <w:pStyle w:val="Listenabsatz"/>
        <w:numPr>
          <w:ilvl w:val="0"/>
          <w:numId w:val="4"/>
        </w:numPr>
        <w:spacing w:after="0" w:line="240" w:lineRule="auto"/>
        <w:ind w:left="284" w:hanging="284"/>
        <w:jc w:val="both"/>
        <w:rPr>
          <w:rFonts w:ascii="Arial" w:hAnsi="Arial" w:cs="Arial"/>
          <w:bCs/>
          <w:sz w:val="24"/>
          <w:szCs w:val="24"/>
        </w:rPr>
      </w:pPr>
      <w:r>
        <w:rPr>
          <w:rFonts w:ascii="Arial" w:hAnsi="Arial" w:cs="Arial"/>
          <w:bCs/>
          <w:sz w:val="24"/>
          <w:szCs w:val="24"/>
        </w:rPr>
        <w:t>Dieser Familiennachzug wird nur gewährt,</w:t>
      </w:r>
    </w:p>
    <w:p w:rsidR="007F452D" w:rsidRDefault="006007DF">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wenn es sich um Ehen handelt, die vor der Flucht geschlossen worden sind,</w:t>
      </w:r>
    </w:p>
    <w:p w:rsidR="007F452D" w:rsidRDefault="006007DF">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keine schwerwiegenden Straftaten begangen wurden,</w:t>
      </w:r>
    </w:p>
    <w:p w:rsidR="007F452D" w:rsidRDefault="006007DF">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 xml:space="preserve">es sich nicht um Gefährder handelt, </w:t>
      </w:r>
    </w:p>
    <w:p w:rsidR="007F452D" w:rsidRDefault="006007DF">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lastRenderedPageBreak/>
        <w:t>eine Ausreise kurzfristig nicht zu erwarten ist.</w:t>
      </w:r>
    </w:p>
    <w:p w:rsidR="007F452D" w:rsidRDefault="007F452D">
      <w:pPr>
        <w:spacing w:after="0" w:line="240" w:lineRule="auto"/>
        <w:contextualSpacing/>
        <w:jc w:val="both"/>
        <w:rPr>
          <w:rFonts w:ascii="Arial" w:hAnsi="Arial" w:cs="Arial"/>
          <w:bCs/>
          <w:sz w:val="24"/>
          <w:szCs w:val="24"/>
        </w:rPr>
      </w:pPr>
    </w:p>
    <w:p w:rsidR="007F452D" w:rsidRDefault="006007DF">
      <w:pPr>
        <w:pStyle w:val="Listenabsatz"/>
        <w:numPr>
          <w:ilvl w:val="0"/>
          <w:numId w:val="4"/>
        </w:numPr>
        <w:spacing w:after="0" w:line="240" w:lineRule="auto"/>
        <w:ind w:left="284" w:hanging="284"/>
        <w:jc w:val="both"/>
        <w:rPr>
          <w:rFonts w:ascii="Arial" w:hAnsi="Arial" w:cs="Arial"/>
          <w:bCs/>
          <w:sz w:val="24"/>
          <w:szCs w:val="24"/>
        </w:rPr>
      </w:pPr>
      <w:r>
        <w:rPr>
          <w:rFonts w:ascii="Arial" w:hAnsi="Arial" w:cs="Arial"/>
          <w:bCs/>
          <w:sz w:val="24"/>
          <w:szCs w:val="24"/>
        </w:rPr>
        <w:t>Mit der gesetzlichen Neuregelung wollen wir Anreize ausschließen, die dadurch entstehen, dass Minderjährige von ihren Eltern unter Gefährdung des Kindeswohls zukünftig auf die gefährliche Reise vorgeschickt werden.</w:t>
      </w:r>
    </w:p>
    <w:p w:rsidR="007F452D" w:rsidRDefault="007F452D">
      <w:pPr>
        <w:pStyle w:val="Listenabsatz"/>
        <w:spacing w:after="0" w:line="240" w:lineRule="auto"/>
        <w:jc w:val="both"/>
        <w:rPr>
          <w:rFonts w:ascii="Arial" w:hAnsi="Arial" w:cs="Arial"/>
          <w:bCs/>
          <w:sz w:val="24"/>
          <w:szCs w:val="24"/>
        </w:rPr>
      </w:pPr>
    </w:p>
    <w:p w:rsidR="007F452D" w:rsidRDefault="006007DF">
      <w:pPr>
        <w:pStyle w:val="Listenabsatz"/>
        <w:numPr>
          <w:ilvl w:val="0"/>
          <w:numId w:val="4"/>
        </w:numPr>
        <w:spacing w:after="0" w:line="240" w:lineRule="auto"/>
        <w:ind w:left="284" w:hanging="284"/>
        <w:jc w:val="both"/>
        <w:rPr>
          <w:rFonts w:ascii="Arial" w:hAnsi="Arial" w:cs="Arial"/>
          <w:bCs/>
          <w:sz w:val="24"/>
          <w:szCs w:val="24"/>
        </w:rPr>
      </w:pPr>
      <w:r>
        <w:rPr>
          <w:rFonts w:ascii="Arial" w:eastAsia="Times New Roman" w:hAnsi="Arial" w:cs="Arial"/>
          <w:sz w:val="24"/>
          <w:szCs w:val="24"/>
        </w:rPr>
        <w:t>Mit der gefundenen Lösung zum Familiennachzug werden fortan subsidiär Geschützte im Rahmen des Kontingents eine ungefährliche Möglichkeit auf Familiennachzug ihrer Kernfamilie haben. Die Einstufung gemäß der GFK soll sachgerecht erfolgen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22"/>
        </w:numPr>
        <w:rPr>
          <w:b w:val="0"/>
          <w:bCs w:val="0"/>
          <w:szCs w:val="24"/>
        </w:rPr>
      </w:pPr>
      <w:bookmarkStart w:id="45" w:name="_Toc505767169"/>
      <w:r>
        <w:t>Erwerbsmigration</w:t>
      </w:r>
      <w:bookmarkEnd w:id="45"/>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Unser Land braucht geeignete und qualifizierte Fachkräfte in großer Zahl. Kein Arbeitsplatz soll unbesetzt bleiben, weil es an Fachkräften fehlt. Den Fachkräftezuzug nach Deutschland haben wir in den vergangenen Jahren bereits erheblich verbessert und vereinfacht. Dieser Bedarf wird voraussichtlich in den nächsten Jahren aufgrund unserer guten wirtschaftlichen Entwicklung und wegen der rückläufigen Zahl junger Menschen, die neu ins Erwerbsleben eintreten, weiter steigen.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Deshalb werden wir ein Regelwerk zur Steuerung von Zuwanderung in den Arbeitsmarkt und das damit verbundene Recht des Aufenthalts und der Rückkehr in einem Gesetzeswerk erarbeiten, das sich am Bedarf unserer Volkswirtschaft orientiert. Ein solches Gesetz wird die bereits bestehenden Regelungen zusammenfassen, transparenter machen und, wo nötig, effizienter gestalten.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Maßgeblich zu berücksichtigen für den Zuzug nach Deutschland sind der Bedarf unserer Volkswirtschaft, Qualifikation, Alter, Sprache sowie der Nachweis eines konkreten Arbeitsplatzes und die Sicherung des Lebensunterhalts.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Unter Fachkräften verstehen wir sowohl Hochschulabsolventen als auch Einwandererinnen und Einwanderer mit qualifizierter Berufsausbildung bzw. ausgeprägten berufspraktischen Kenntnissen. Eine Gleichwertigkeitsprüfung der beruflichen bzw. akademischen Qualifikationen der Fachkräfte soll möglichst ohne lange Wartezeiten erfolgen. Auf eine Vorrangprüfung wird verzichtet, soweit die Landesregierungen nicht in Bezirken mit hoher Arbeitslosigkeit an der Vorrangprüfung festhalten wollen. Unberührt hiervon bleibt die Prüfung der Arbeitsbedingungen auf Gleichwertigkeit durch die Bundesagentur für Arbeit.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Mit einer klug gesteuerten Einwanderungspolitik für Fachkräfte unterstützen wir die Schaffung von Arbeitsplätzen in Deutschland und verringern spürbar die Attraktivität von illegaler und ungesteuerter Einwanderung.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Um angemessen auf Entwicklungen unseres Arbeitsmarktes reagieren zu können, achten wir darauf, nationale Regelungsmöglichkeiten für Zuwanderung in den Arbeitsmarkt zu erhalten. </w:t>
      </w:r>
    </w:p>
    <w:p w:rsidR="007F452D" w:rsidRDefault="007F452D">
      <w:pPr>
        <w:spacing w:after="0" w:line="240" w:lineRule="auto"/>
        <w:contextualSpacing/>
        <w:jc w:val="both"/>
        <w:rPr>
          <w:rFonts w:ascii="Arial" w:hAnsi="Arial" w:cs="Arial"/>
          <w:i/>
          <w:iCs/>
          <w:sz w:val="24"/>
          <w:szCs w:val="24"/>
        </w:rPr>
      </w:pPr>
    </w:p>
    <w:p w:rsidR="007F452D" w:rsidRDefault="006007DF">
      <w:pPr>
        <w:pStyle w:val="berschrift2"/>
        <w:numPr>
          <w:ilvl w:val="1"/>
          <w:numId w:val="22"/>
        </w:numPr>
        <w:rPr>
          <w:b w:val="0"/>
          <w:bCs w:val="0"/>
          <w:szCs w:val="24"/>
        </w:rPr>
      </w:pPr>
      <w:bookmarkStart w:id="46" w:name="_Toc505767170"/>
      <w:r>
        <w:t>Gelingende</w:t>
      </w:r>
      <w:r>
        <w:rPr>
          <w:b w:val="0"/>
          <w:bCs w:val="0"/>
          <w:szCs w:val="24"/>
        </w:rPr>
        <w:t xml:space="preserve"> </w:t>
      </w:r>
      <w:r>
        <w:rPr>
          <w:bCs w:val="0"/>
          <w:szCs w:val="24"/>
        </w:rPr>
        <w:t>Integration</w:t>
      </w:r>
      <w:bookmarkEnd w:id="46"/>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Menschen mit Migrationshintergrund gehören zu unserer Gesellschaft und prägen sie mit. Ihre Repräsentanz auf allen Ebenen in den Unternehmen, gesellschaftlichen Einrichtungen und vor allem auch im öffentlichen Dienst gilt es weiterhin zu verbessern.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pacing w:val="2"/>
          <w:sz w:val="24"/>
          <w:szCs w:val="24"/>
        </w:rPr>
        <w:lastRenderedPageBreak/>
        <w:t xml:space="preserve">Die </w:t>
      </w:r>
      <w:r>
        <w:rPr>
          <w:rFonts w:ascii="Arial" w:hAnsi="Arial" w:cs="Arial"/>
          <w:sz w:val="24"/>
          <w:szCs w:val="24"/>
        </w:rPr>
        <w:t>vielfältigen Integrationsmaßnahmen werden wir in einer bundesweiten Strategie nach dem Grundsatz „Fordern und Fördern“ bündeln, größere Transparenz in das Geflecht der bestehenden Integrationsmaßnahmen bringen, die Koordinierung zwischen Bund, Ländern und Kommunen deutlich verbessern und dadurch eine effizientere Wahrnehmung der bestehenden Zuständigkeiten erreichen. Wir wollen mehr Erfolgskontrolle und werden dazu Integrationsforschung und -messung im Sinne eines echten Integrationsmonitorings intensivieren, um die Erfolge der Integrationspolitik sichtbar zu machen und Fehlentwicklungen frühzeitig zu korrigieren.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So wollen wir z. B. die Teilhabe an den Angeboten der Gesundheitsversorgung (insbesondere in der Pflege) gerade für die erste Generation der Arbeitsmigranten der 50er- und 60er</w:t>
      </w:r>
      <w:r w:rsidR="0029759C">
        <w:rPr>
          <w:rFonts w:ascii="Arial" w:hAnsi="Arial" w:cs="Arial"/>
          <w:sz w:val="24"/>
          <w:szCs w:val="24"/>
        </w:rPr>
        <w:t>-</w:t>
      </w:r>
      <w:r>
        <w:rPr>
          <w:rFonts w:ascii="Arial" w:hAnsi="Arial" w:cs="Arial"/>
          <w:sz w:val="24"/>
          <w:szCs w:val="24"/>
        </w:rPr>
        <w:t>Jahre unabhängig von kultureller Herkunft und Status verbessern. Mit Blick auf Vorsorge- und Früherkennungsangebote sowie Rehabilitation sollen die Akteure im Gesundheitswesen verstärkt mehrsprachige gesundheitsfördernde Angebote unterbreiten, die die Betroffenen auch wirklich erreichen.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stellen die weitere Finanzierung der laufenden Maßnahmen zur Entlastung von Ländern und Kommunen bei den Flüchtlingskosten (Integrationspauschale, Kosten der Unterkunft, unbegleitete minderjährige Flüchtlinge) in den Jahren bis 2021 mit insgesamt weiteren acht Milliarden Euro sicher und gestalten sie gemeinsam, wo erforderlich, effizienter neu aus. Wir prüfen zusätzliche finanzielle Anreize bei freiwilligem Engagement von Kommunen für erfolgreiche Integrationsarbeit.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bekennen uns zur Integration für diejenigen mit dauerhafter Bleibeperspektive. Dazu gehören Sprache und Arbeit. Die im Jahr 2005 eingeführten Integrationskurse sind der zentrale Ausgangspunkt für alle weiteren Integrationsschritte. Qualität und Effizienz dieser Kurse wollen wir weiter verbessern, insbesondere mit Blick auf eine bessere Zielgruppenorientierung. Erforderlich ist eine stärkere Kursdifferenzierung nach Vorkenntnissen. Die Mitwirkung beim Spracherwerb werden wir stärker einfordern. Wir wollen für den Spracherwerb zusätzliche Anreize setzen, Hilfestellungen ausbauen und Sanktionsmöglichkeiten konsequent nutzen. Zudem wollen wir auch in der Integrationspolitik die Chancen der Digitalisierung nutzen und digitale Angebote bei Orientierungs- und Integrationskursen ermöglichen. Schließlich wollen wir die Regelungen des Integrationsgesetzes entfristen und die Wohnsitzregelung zeitnah evaluieren.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Zugangsvoraussetzungen zu den ausbildungs- und berufsvorbereitenden Leistungen‎ wollen wir vereinheitlichen und für die Gruppe der Geduldeten mit dem rechtlichen Arbeitsmarktzugang harmonisieren. Gleichzeitig sollen insbesondere diejenigen, bei denen die Ausreise kurzfristig nicht zu erwarten ist, Angebote nach dem Grundsatz des Förderns und Forderns für Spracherwerb und Beschäftigung bekommen. Dazu soll ein Vorschlag erarbeitet werden, wie für diese Gruppe der Zugang zu Sprachkursen und Beschäftigung gewährt werden kann, ohne dass es zu einer Verfestigung von Aufenthaltsrechten und einer Gleichstellung mit denjenigen führt, die eine rechtliche Bleibeperspektive haben.</w:t>
      </w:r>
    </w:p>
    <w:p w:rsidR="007F452D" w:rsidRDefault="007F452D">
      <w:pPr>
        <w:spacing w:after="0" w:line="240" w:lineRule="auto"/>
        <w:contextualSpacing/>
        <w:jc w:val="both"/>
        <w:rPr>
          <w:rFonts w:ascii="Arial" w:hAnsi="Arial" w:cs="Arial"/>
          <w:sz w:val="24"/>
          <w:szCs w:val="24"/>
          <w:highlight w:val="yellow"/>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Für langjährig Geduldete, die die Integrationsanforderungen im Sinne des § 25a und b des Aufenthaltsgesetzes erfüllen, wollen wir Verbesserungen und Vereinfachungen für den Aufenthalt und bei der Ausbildung und Arbeitsmarktintegration erarbeiten. Damit wollen wir auch Klarheit für die Betroffenen hinsichtlich ihrer Zukunft in Deutschland schaffen.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Die 3+2-Regelung für Auszubildende wollen wir bundesweit einheitlich anwenden. Diese Regelung zielt auf die Ermöglichung eines Zugangs zu einer qualifizierten Berufsausbildung mit einer Duldung. Dieses Ziel darf nicht durch eine zu enge Anwendung des Beschäftigungsrechts für Geduldete unterlaufen werden. Diese Regelung wollen wir auch auf staatlich anerkannte Helferausbildungen ‎anwenden, soweit daran eine qualifizierte Ausbildung in einem Mangelberuf anschlussfähig ist. Eine Ausbildungszusage muss dabei vorliegen. Bei alledem wollen wir zusätzliche Belastungen für die sozialen Sicherungssysteme vermeiden.</w:t>
      </w:r>
    </w:p>
    <w:p w:rsidR="007F452D" w:rsidRDefault="007F452D">
      <w:pPr>
        <w:spacing w:after="0" w:line="240" w:lineRule="auto"/>
        <w:ind w:left="708" w:hanging="708"/>
        <w:contextualSpacing/>
        <w:jc w:val="both"/>
        <w:rPr>
          <w:rFonts w:ascii="Arial" w:hAnsi="Arial" w:cs="Arial"/>
          <w:sz w:val="24"/>
          <w:szCs w:val="24"/>
        </w:rPr>
      </w:pPr>
    </w:p>
    <w:p w:rsidR="007F452D" w:rsidRDefault="006007DF">
      <w:pPr>
        <w:pStyle w:val="berschrift2"/>
        <w:numPr>
          <w:ilvl w:val="1"/>
          <w:numId w:val="22"/>
        </w:numPr>
        <w:rPr>
          <w:b w:val="0"/>
          <w:bCs w:val="0"/>
          <w:szCs w:val="24"/>
        </w:rPr>
      </w:pPr>
      <w:bookmarkStart w:id="47" w:name="_Toc505767171"/>
      <w:r>
        <w:t>Effizientere</w:t>
      </w:r>
      <w:r>
        <w:rPr>
          <w:b w:val="0"/>
          <w:bCs w:val="0"/>
          <w:szCs w:val="24"/>
        </w:rPr>
        <w:t xml:space="preserve"> </w:t>
      </w:r>
      <w:r>
        <w:rPr>
          <w:bCs w:val="0"/>
          <w:szCs w:val="24"/>
        </w:rPr>
        <w:t>Verfahren</w:t>
      </w:r>
      <w:bookmarkEnd w:id="47"/>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Menschen, die in Deutschland Schutz suchen, brauchen Asylverfahren, die schnell, umfassend und rechtssicher bearbeitet werden. Deren Bearbeitung erfolgt künftig in zentralen Aufnahme-, Entscheidungs- und Rückführungseinrichtungen, in denen BAMF, BA, Jugendämter, Justiz, Ausländerbehörden und andere Hand in Hand arbeiten. In den AnKER-Einrichtungen sollen Ankunft, Entscheidung, kommunale Verteilung bzw. Rückführung (AnKER) stattfinden. Eine unabhängige und flächendeckende Asylverfahrensberatung ist zu gewährleisten. Über die Frage von Zuständigkeit und Trägerschaft wird eine Vereinbarung zwischen Bund und Ländern getroffen.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Bundesrepublik Deutschland hat sich in den vergangenen Jahren in einzigartiger Weise humanitär engagiert. Menschen, die von Krieg und Verfolgung betroffen sind, bieten wir Schutz. Wir haben das Recht zu wissen, wer in unserem Land leben will; dazu bestehen besondere Mitwirkungspflichten durch die Ankommenden. Das betrifft zuallererst die umfassende Identitätsfeststellung: Name, Herkunft, Alter, Fingerabdruck. Bei ungeklärter Identität wollen wir die behördlichen Möglichkeiten zu deren Feststellungen erweitern und Identitätstäuschungen wirksamer begegnen. Die umfassende Identitätsfeststellung findet in den AnKER-Einrichtungen statt. </w:t>
      </w:r>
    </w:p>
    <w:p w:rsidR="007F452D" w:rsidRDefault="007F452D">
      <w:pPr>
        <w:spacing w:after="0" w:line="240" w:lineRule="auto"/>
        <w:contextualSpacing/>
        <w:jc w:val="both"/>
        <w:rPr>
          <w:rFonts w:ascii="Arial" w:hAnsi="Arial" w:cs="Arial"/>
          <w:sz w:val="24"/>
          <w:szCs w:val="24"/>
        </w:rPr>
      </w:pPr>
    </w:p>
    <w:p w:rsidR="007F452D" w:rsidRDefault="006007DF">
      <w:pPr>
        <w:pStyle w:val="Kommentartext"/>
        <w:spacing w:after="0"/>
        <w:contextualSpacing/>
        <w:jc w:val="both"/>
        <w:rPr>
          <w:rFonts w:ascii="Arial" w:hAnsi="Arial" w:cs="Arial"/>
          <w:color w:val="auto"/>
          <w:sz w:val="24"/>
          <w:szCs w:val="24"/>
        </w:rPr>
      </w:pPr>
      <w:r>
        <w:rPr>
          <w:rFonts w:ascii="Arial" w:hAnsi="Arial" w:cs="Arial"/>
          <w:color w:val="auto"/>
          <w:sz w:val="24"/>
          <w:szCs w:val="24"/>
        </w:rPr>
        <w:t>Nach der Altersfeststellung werden unbegleitete Minderjährige durch Jugendbehörden in Obhut genommen, Erwachsene verbleiben in den AnKER-Einrichtungen. Steht in Zweifel, ob es sich um Jugendliche oder um Erwachsene handelt, erfolgt die Altersfeststellung durch das zuständige Jugendamt unter Beteiligung des BAMF in den AnKER-Einrichtungen.</w:t>
      </w:r>
    </w:p>
    <w:p w:rsidR="007F452D" w:rsidRDefault="007F452D">
      <w:pPr>
        <w:pStyle w:val="Kommentartext"/>
        <w:spacing w:after="0"/>
        <w:contextualSpacing/>
        <w:jc w:val="both"/>
        <w:rPr>
          <w:rFonts w:ascii="Arial" w:hAnsi="Arial" w:cs="Arial"/>
          <w:color w:val="auto"/>
          <w:sz w:val="24"/>
          <w:szCs w:val="24"/>
        </w:rPr>
      </w:pPr>
    </w:p>
    <w:p w:rsidR="007F452D" w:rsidRDefault="006007DF">
      <w:pPr>
        <w:spacing w:after="0" w:line="240" w:lineRule="auto"/>
        <w:contextualSpacing/>
        <w:jc w:val="both"/>
        <w:rPr>
          <w:rFonts w:ascii="Arial" w:hAnsi="Arial" w:cs="Arial"/>
          <w:sz w:val="24"/>
          <w:szCs w:val="24"/>
        </w:rPr>
      </w:pPr>
      <w:r>
        <w:rPr>
          <w:rFonts w:ascii="Arial" w:eastAsia="Tahoma" w:hAnsi="Arial" w:cs="Arial"/>
          <w:spacing w:val="2"/>
          <w:sz w:val="24"/>
          <w:szCs w:val="24"/>
        </w:rPr>
        <w:t xml:space="preserve">Um die Chance auf eine erfolgreiche Integration zu wahren und europarechtliche Vorgaben zu erfüllen, ist die Bleibeverpflichtung in den AnKER-Einrichtungen zeitlich und sachlich zu begrenzen. </w:t>
      </w:r>
      <w:r>
        <w:rPr>
          <w:rFonts w:ascii="Arial" w:hAnsi="Arial" w:cs="Arial"/>
          <w:sz w:val="24"/>
          <w:szCs w:val="24"/>
        </w:rPr>
        <w:t xml:space="preserve">Sowohl in den Aufnahmeeinrichtungen als auch in den AnKER-Einrichtungen soll die Aufenthaltszeit in der Regel 18 Monate nicht überschreiten (§ 47 Abs. 1a und 1b Asylgesetz bleibt davon unberührt), bei Familien mit minderjährigen Kindern in der Regel sechs Monate. Insgesamt ist eine geschlechter- und jugendgerechte Unterbringung zu gewährleisten.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streben an, nur diejenigen auf die Kommunen zu verteilen, bei denen eine positive Bleibeprognose besteht. Alle anderen sollen, wenn in angemessener Zeit möglich, aus diesen Einrichtungen in ihre Heimatländer zurückgeführt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Spätestens drei Jahre nach einer positiven Entscheidung ist eine Überprüfung des gewährten Schutzes erforderlich. Für dieses Prüfverfahren werden verbindliche Mitwirkungspflichten der Betroffenen gelten. Dazu sollen Belehrungen stattfinden.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Vollziehbar Ausreisepflichtige müssen unser Land verlassen. Freiwillige Rückkehr und konsequente Abschiebung sind dabei von wesentlicher Bedeutung. Die freiwillige Rückkehr hat Vorrang. Bestehende Hindernisse (z. B. Identitätsfeststellung, Aufnahmewillen der Herkunftsländer, Passersatzbeschaffung, Arbeit der Potsdamer Clearingstelle, ZUR) wollen wir weiter verringern. Wir starten eine Qualitätsoffensive für die Arbeit des Bundesamts für Migration und Flüchtlinge.</w:t>
      </w:r>
    </w:p>
    <w:p w:rsidR="007F452D" w:rsidRDefault="007F452D">
      <w:pPr>
        <w:spacing w:after="0" w:line="240" w:lineRule="auto"/>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Gerade im Interesse der wirklich Schutzbedürftigen und der Akzeptanz in der Bevölkerung wollen wir Ausreisepflichtige stärker danach unterscheiden, ob sie unverschuldet an der Ausreise gehindert sind oder ihnen die fehlende Möglichkeit zur Durchsetzung ihrer Ausreisepflicht zugerechnet werden muss. Diese Unterscheidung hat auch Konsequenzen, beispielsweise hinsichtlich des Bezugs von Leistungen. Entsprechendem Änderungsbedarf werden wir nachkommen.</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Das Bundesamt für Migration und Flüchtlinge ist möglichst frühzeitig über die Einleitung eines Strafverfahrens zu informieren. Dazu werden wir § 8 Abs. 1a des Asylgesetzes ändern.</w:t>
      </w:r>
    </w:p>
    <w:p w:rsidR="007F452D" w:rsidRDefault="007F452D">
      <w:pPr>
        <w:pStyle w:val="NurText"/>
        <w:contextualSpacing/>
        <w:jc w:val="both"/>
        <w:rPr>
          <w:rFonts w:ascii="Arial" w:hAnsi="Arial" w:cs="Arial"/>
          <w:sz w:val="24"/>
          <w:szCs w:val="24"/>
        </w:rPr>
      </w:pPr>
    </w:p>
    <w:p w:rsidR="007F452D" w:rsidRDefault="006007DF">
      <w:pPr>
        <w:pStyle w:val="NurText"/>
        <w:contextualSpacing/>
        <w:jc w:val="both"/>
        <w:rPr>
          <w:rFonts w:ascii="Arial" w:hAnsi="Arial" w:cs="Arial"/>
          <w:sz w:val="24"/>
          <w:szCs w:val="24"/>
        </w:rPr>
      </w:pPr>
      <w:r>
        <w:rPr>
          <w:rFonts w:ascii="Arial" w:hAnsi="Arial" w:cs="Arial"/>
          <w:sz w:val="24"/>
          <w:szCs w:val="24"/>
        </w:rPr>
        <w:t>Wer sein Aufenthaltsrecht dazu missbraucht, um Straftaten zu begehen, muss unser Land verlassen. Das gilt auch bei Fällen von Sozialleistungsbetrug und Verstößen gegen das Betäubungsmittelgesetz, soweit diese zu einer Verurteilung von mindestens einem Jahr geführt haben.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Abschiebehaft und Ausreisegewahrsam, einschließlich des Beschwerdeverfahrens, werden wir praktikabler ausgestalten, die Voraussetzungen absenken und klarer bestimmen. Ziel ist, die Zuführungsquoten zu Rückführungsmaßnahmen deutlich zu erhöhen.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lang w:eastAsia="de-DE"/>
        </w:rPr>
      </w:pPr>
      <w:r>
        <w:rPr>
          <w:rFonts w:ascii="Arial" w:hAnsi="Arial" w:cs="Arial"/>
          <w:sz w:val="24"/>
          <w:szCs w:val="24"/>
          <w:lang w:eastAsia="de-DE"/>
        </w:rPr>
        <w:t xml:space="preserve">Zum Zwecke der Verfahrensbeschleunigung werden </w:t>
      </w:r>
      <w:r>
        <w:rPr>
          <w:rFonts w:ascii="Arial" w:hAnsi="Arial" w:cs="Arial"/>
          <w:sz w:val="24"/>
          <w:szCs w:val="24"/>
        </w:rPr>
        <w:t>Algerien, Marokko und Tunesien sowie weitere</w:t>
      </w:r>
      <w:r>
        <w:rPr>
          <w:rFonts w:ascii="Arial" w:hAnsi="Arial" w:cs="Arial"/>
          <w:sz w:val="24"/>
          <w:szCs w:val="24"/>
          <w:lang w:eastAsia="de-DE"/>
        </w:rPr>
        <w:t xml:space="preserve"> Staaten mit einer </w:t>
      </w:r>
      <w:r>
        <w:rPr>
          <w:rFonts w:ascii="Arial" w:hAnsi="Arial" w:cs="Arial"/>
          <w:sz w:val="24"/>
          <w:szCs w:val="24"/>
        </w:rPr>
        <w:t xml:space="preserve">regelmäßigen </w:t>
      </w:r>
      <w:r>
        <w:rPr>
          <w:rFonts w:ascii="Arial" w:hAnsi="Arial" w:cs="Arial"/>
          <w:sz w:val="24"/>
          <w:szCs w:val="24"/>
          <w:lang w:eastAsia="de-DE"/>
        </w:rPr>
        <w:t xml:space="preserve">Anerkennungsquote unter fünf Prozent zu sicheren Herkunftsstaaten bestimmt. </w:t>
      </w:r>
      <w:r>
        <w:rPr>
          <w:rFonts w:ascii="Arial" w:hAnsi="Arial" w:cs="Arial"/>
          <w:sz w:val="24"/>
          <w:szCs w:val="24"/>
        </w:rPr>
        <w:t xml:space="preserve">Der Individualanspruch auf Einzelfallprüfung bleibt unberührt. </w:t>
      </w:r>
      <w:r>
        <w:rPr>
          <w:rFonts w:ascii="Arial" w:hAnsi="Arial" w:cs="Arial"/>
          <w:sz w:val="24"/>
          <w:szCs w:val="24"/>
          <w:lang w:eastAsia="de-DE"/>
        </w:rPr>
        <w:t>Gleichzeitig wird durch eine spezielle Rechtsberatung für besondere vulnerable Fluchtgruppen deren besondere Schutzwürdigkeit berücksichtigt.</w:t>
      </w:r>
    </w:p>
    <w:p w:rsidR="007F452D" w:rsidRDefault="007F452D">
      <w:pPr>
        <w:spacing w:after="0" w:line="240" w:lineRule="auto"/>
        <w:contextualSpacing/>
        <w:jc w:val="both"/>
        <w:rPr>
          <w:rFonts w:ascii="Arial" w:hAnsi="Arial" w:cs="Arial"/>
          <w:sz w:val="24"/>
          <w:szCs w:val="24"/>
          <w:lang w:eastAsia="de-DE"/>
        </w:rPr>
      </w:pPr>
    </w:p>
    <w:p w:rsidR="00F709A3" w:rsidRDefault="006007DF" w:rsidP="00F709A3">
      <w:pPr>
        <w:spacing w:after="0" w:line="240" w:lineRule="auto"/>
        <w:contextualSpacing/>
        <w:jc w:val="both"/>
        <w:rPr>
          <w:rFonts w:ascii="Arial" w:eastAsiaTheme="majorEastAsia" w:hAnsi="Arial" w:cs="Arial"/>
          <w:b/>
          <w:bCs/>
          <w:sz w:val="24"/>
          <w:szCs w:val="24"/>
        </w:rPr>
      </w:pPr>
      <w:r>
        <w:rPr>
          <w:rFonts w:ascii="Arial" w:hAnsi="Arial" w:cs="Arial"/>
          <w:sz w:val="24"/>
          <w:szCs w:val="24"/>
        </w:rPr>
        <w:t xml:space="preserve">Wir werden das Ausländerzentralregister (AZR) ertüchtigen, um belastbarere Auskünfte erhalten zu können, allen relevanten Behörden unkomplizierten Zugriff zu ermöglichen und es auch zur besseren Steuerung der Rückführung und freiwilligen Ausreise einsetzen zu können. Wir werden es in Zusammenarbeit mit den Ländern zu einem insgesamt den zeitgemäßen Anforderungen entsprechenden zentralen Ausländerdateisystem weiterentwickeln. Im Rahmen dieser Ertüchtigung werden wir auch den Bestand der tatsächlich zur Rückführung anstehenden Personen besser abbilden. </w:t>
      </w:r>
      <w:bookmarkStart w:id="48" w:name="_Toc505767172"/>
      <w:r w:rsidR="00F709A3">
        <w:br w:type="page"/>
      </w:r>
    </w:p>
    <w:p w:rsidR="007F452D" w:rsidRDefault="006007DF">
      <w:pPr>
        <w:pStyle w:val="berschrift1"/>
        <w:numPr>
          <w:ilvl w:val="0"/>
          <w:numId w:val="13"/>
        </w:numPr>
        <w:ind w:left="426" w:hanging="142"/>
        <w:contextualSpacing/>
      </w:pPr>
      <w:r>
        <w:lastRenderedPageBreak/>
        <w:t>Lebenswerte Städte, attraktive Regionen und bezahlbares Wohnen</w:t>
      </w:r>
      <w:bookmarkEnd w:id="48"/>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Unser Ziel sind gleichwertige Lebensverhältnisse im urbanen und ländlichen Raum in ganz Deutschland.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Der Bedarf an bezahlbarem Wohnraum gerade in wachsenden Städten und Ballungsräumen ist weiterhin groß. Hier belasten die steigenden Mieten und Kaufpreise die Haushalte mit unteren und mittleren Einkommen zunehmend.</w:t>
      </w:r>
    </w:p>
    <w:p w:rsidR="007F452D" w:rsidRDefault="007F452D">
      <w:pPr>
        <w:pStyle w:val="Text"/>
        <w:contextualSpacing/>
        <w:jc w:val="both"/>
        <w:rPr>
          <w:rFonts w:ascii="Arial" w:hAnsi="Arial" w:cs="Arial"/>
          <w:b/>
          <w:color w:val="auto"/>
          <w:sz w:val="24"/>
          <w:szCs w:val="24"/>
        </w:rPr>
      </w:pPr>
    </w:p>
    <w:p w:rsidR="007F452D" w:rsidRDefault="006007DF">
      <w:pPr>
        <w:pStyle w:val="berschrift2"/>
        <w:numPr>
          <w:ilvl w:val="1"/>
          <w:numId w:val="23"/>
        </w:numPr>
        <w:rPr>
          <w:b w:val="0"/>
          <w:szCs w:val="24"/>
        </w:rPr>
      </w:pPr>
      <w:bookmarkStart w:id="49" w:name="_Toc505767173"/>
      <w:r>
        <w:t>Wohnraumoffensive</w:t>
      </w:r>
      <w:bookmarkEnd w:id="49"/>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wollen erreichen, dass 1,5 Millionen Wohnungen und Eigenheime frei finanziert und öffentlich gefördert gebaut werden. Hierzu gehört auch, dass der Bestand an bezahlbarem Wohnraum gesichert wird.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werden im Rahmen eines „Wohngipfels 2018“ mit Ländern, Kommunen, Vertretern der Bau- und Immobilienwirtschaft, der Mieter- und Vermieterverbände und der Gewerkschaften Eckpunkte eines Gesetzespaketes „Wohnraumoffensive“ vereinbaren.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Das „Bündnis für bezahlbares Wohnen und Bauen“ und die im Rahmen dessen begründete Innovationspartnerschaft werden fortgesetzt. Beide werden bis 2021 die Umsetzung der Vereinbarungen begleiten und </w:t>
      </w:r>
      <w:r>
        <w:rPr>
          <w:rFonts w:ascii="Arial" w:hAnsi="Arial" w:cs="Arial"/>
          <w:sz w:val="24"/>
          <w:szCs w:val="24"/>
        </w:rPr>
        <w:t>gegebenenfalls</w:t>
      </w:r>
      <w:r>
        <w:rPr>
          <w:rFonts w:ascii="Arial" w:hAnsi="Arial" w:cs="Arial"/>
          <w:color w:val="auto"/>
          <w:sz w:val="24"/>
          <w:szCs w:val="24"/>
        </w:rPr>
        <w:t xml:space="preserve"> weitere Initiativen zur Zielerreichung beim Wohnungsneubau anstoßen. Für eine „Nachhaltige Baulandmobilisierung und Bodenpolitik“ werden wir eine Enquete-Kommission einsetzen.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Wir wollen die Gewinnung von Wohnbauland von Landwirten durch steuerlich wirksame Reinvestitionsmöglichkeiten in den Mietwohnungsbau nach einer verfassungsrechtlichen Prüfung verbessern.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kern w:val="1"/>
          <w:sz w:val="24"/>
          <w:szCs w:val="24"/>
          <w:lang w:eastAsia="ar-SA"/>
        </w:rPr>
      </w:pPr>
      <w:r>
        <w:rPr>
          <w:rFonts w:ascii="Arial" w:hAnsi="Arial" w:cs="Arial"/>
          <w:color w:val="auto"/>
          <w:sz w:val="24"/>
          <w:szCs w:val="24"/>
        </w:rPr>
        <w:t>Wir werden nach einer verfassungsrechtlichen Prüfung den Kommunen durch Schaffung der rechtlichen Grundlagen die Möglichkeit einräumen, die Baulandmobilisierung durch steuerliche Maßnahmen zu verbessern. Durch die Einführung einer Grundsteuer C ermöglichen wir den Städten und Gemeinden die Möglichkeit, die Verfügbarmachung von Grundstücken für Wohnzwecke zu verbessern.</w:t>
      </w:r>
    </w:p>
    <w:p w:rsidR="007F452D" w:rsidRDefault="007F452D">
      <w:pPr>
        <w:pStyle w:val="Text"/>
        <w:contextualSpacing/>
        <w:jc w:val="both"/>
        <w:rPr>
          <w:rFonts w:ascii="Arial" w:hAnsi="Arial" w:cs="Arial"/>
          <w:color w:val="auto"/>
          <w:sz w:val="24"/>
          <w:szCs w:val="24"/>
        </w:rPr>
      </w:pPr>
    </w:p>
    <w:p w:rsidR="007F452D" w:rsidRDefault="006007DF">
      <w:pPr>
        <w:widowControl w:val="0"/>
        <w:spacing w:after="0" w:line="240" w:lineRule="auto"/>
        <w:contextualSpacing/>
        <w:jc w:val="both"/>
        <w:rPr>
          <w:rFonts w:ascii="Arial" w:eastAsia="Helvetica" w:hAnsi="Arial" w:cs="Arial"/>
          <w:sz w:val="24"/>
          <w:szCs w:val="24"/>
        </w:rPr>
      </w:pPr>
      <w:r>
        <w:rPr>
          <w:rFonts w:ascii="Arial" w:hAnsi="Arial" w:cs="Arial"/>
          <w:sz w:val="24"/>
          <w:szCs w:val="24"/>
        </w:rPr>
        <w:t>Wir wollen ermöglichen, dass die Bundesanstalt für Immobilienaufgaben (BImA) den Ländern und Kommunen zu Zwecken der sozialen Wohnraumförderung bundeseigene Grundstücke rechtssicher und im beschleunigten Verfahren zu vergünstigten Konditionen zur Verfügung stellen kann. Die bestehende Erstzugriffsoption für Kommunen soll im Haushaltsgesetz des Bundes auf alle entbehrlichen Liegenschaften des Bundes ausgeweitet werden.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Wir werden die Kommunen bei der Aktivierung von Bauland und Sicherung bezahlbaren Wohnens unterstützen und streben dazu weitere Verbesserungen im Bauplanungsrecht an.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Weitere Verschärfungen der Eingriffsmöglichkeiten der Kommunen in Eigentumsrechte durch Gestaltung auf Bundesebene werden dabei nicht verfolgt.</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wollen das Bauplanungsrecht und die immissionsschutzrechtlichen Vorschriften besser aufeinander abstimmen, um die Kommunen in die Lage zu versetzen, mit </w:t>
      </w:r>
      <w:r>
        <w:rPr>
          <w:rFonts w:ascii="Arial" w:hAnsi="Arial" w:cs="Arial"/>
          <w:color w:val="auto"/>
          <w:sz w:val="24"/>
          <w:szCs w:val="24"/>
        </w:rPr>
        <w:lastRenderedPageBreak/>
        <w:t xml:space="preserve">Nutzungskonflikten vor Ort umzugehen und eine bessere Nutzungsmischung zu ermöglichen.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Das beschleunigte Bebauungsplanverfahren für den Wohnungsbau werden wir evaluieren und </w:t>
      </w:r>
      <w:r>
        <w:rPr>
          <w:rFonts w:ascii="Arial" w:hAnsi="Arial" w:cs="Arial"/>
          <w:sz w:val="24"/>
          <w:szCs w:val="24"/>
        </w:rPr>
        <w:t>gegebenenfalls</w:t>
      </w:r>
      <w:r>
        <w:rPr>
          <w:rFonts w:ascii="Arial" w:hAnsi="Arial" w:cs="Arial"/>
          <w:color w:val="auto"/>
          <w:sz w:val="24"/>
          <w:szCs w:val="24"/>
        </w:rPr>
        <w:t xml:space="preserve"> weiterentwickeln. Ferner gehört dazu ein vielseitiger Mix qualitativ hochwertiger Ausgleichsmaßnahmen, damit Genehmigungsbehörden flexible Instrumente erhalten, auch bei der Schaffung von Wohnraum die Flächeninanspruchnahme gering zu halten.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bCs/>
          <w:color w:val="auto"/>
          <w:sz w:val="24"/>
          <w:szCs w:val="24"/>
        </w:rPr>
      </w:pPr>
      <w:r>
        <w:rPr>
          <w:rFonts w:ascii="Arial" w:hAnsi="Arial" w:cs="Arial"/>
          <w:bCs/>
          <w:color w:val="auto"/>
          <w:sz w:val="24"/>
          <w:szCs w:val="24"/>
        </w:rPr>
        <w:t xml:space="preserve">Der soziale Wohnungsbau muss mindestens auf heutigem Niveau und langfristig verstetigt werden. Dafür ist es </w:t>
      </w:r>
      <w:r>
        <w:rPr>
          <w:rFonts w:ascii="Arial" w:hAnsi="Arial" w:cs="Arial"/>
          <w:color w:val="auto"/>
          <w:sz w:val="24"/>
          <w:szCs w:val="24"/>
        </w:rPr>
        <w:t>erforderlich</w:t>
      </w:r>
      <w:r>
        <w:rPr>
          <w:rFonts w:ascii="Arial" w:hAnsi="Arial" w:cs="Arial"/>
          <w:bCs/>
          <w:color w:val="auto"/>
          <w:sz w:val="24"/>
          <w:szCs w:val="24"/>
        </w:rPr>
        <w:t>, dass der Bund auch in Zukunft gemeinsam mit den Ländern Verantwortung für die soziale Wohnraumförderung übernehmen kann. Falls erforderlich wird dazu eine Grundgesetzänderung vorgenommen. Ungeachtet dessen werden wir in den Jahren 2020/2021 mindestens zwei Milliarden Euro für den sozialen Wohnungsbau zweckgebunden bereitstellen.</w:t>
      </w:r>
    </w:p>
    <w:p w:rsidR="007F452D" w:rsidRDefault="007F452D">
      <w:pPr>
        <w:pStyle w:val="Text"/>
        <w:contextualSpacing/>
        <w:jc w:val="both"/>
        <w:rPr>
          <w:rFonts w:ascii="Arial" w:hAnsi="Arial" w:cs="Arial"/>
          <w:bCs/>
          <w:color w:val="auto"/>
          <w:sz w:val="24"/>
          <w:szCs w:val="24"/>
        </w:rPr>
      </w:pPr>
    </w:p>
    <w:p w:rsidR="007F452D" w:rsidRDefault="006007DF">
      <w:pPr>
        <w:pStyle w:val="Text"/>
        <w:contextualSpacing/>
        <w:jc w:val="both"/>
        <w:rPr>
          <w:rFonts w:ascii="Arial" w:hAnsi="Arial" w:cs="Arial"/>
          <w:bCs/>
          <w:color w:val="auto"/>
          <w:sz w:val="24"/>
          <w:szCs w:val="24"/>
        </w:rPr>
      </w:pPr>
      <w:r>
        <w:rPr>
          <w:rFonts w:ascii="Arial" w:hAnsi="Arial" w:cs="Arial"/>
          <w:bCs/>
          <w:color w:val="auto"/>
          <w:sz w:val="24"/>
          <w:szCs w:val="24"/>
        </w:rPr>
        <w:t>Wir schaffen insbesondere für den freifinanzierten Wohnungsneubau im bezahlbaren Mietsegment steuerliche Anreize. Dazu werden wir eine bis Ende des Jahres 2021 befristete Sonderabschreibung einführen. Sie beträgt zusätzlich zur linearen Abschreibung über vier Jahre fünf Prozent pro Jahr.</w:t>
      </w:r>
    </w:p>
    <w:p w:rsidR="007F452D" w:rsidRDefault="007F452D">
      <w:pPr>
        <w:pStyle w:val="Text"/>
        <w:contextualSpacing/>
        <w:jc w:val="both"/>
        <w:rPr>
          <w:rFonts w:ascii="Arial" w:hAnsi="Arial" w:cs="Arial"/>
          <w:bCs/>
          <w:color w:val="auto"/>
          <w:sz w:val="24"/>
          <w:szCs w:val="24"/>
        </w:rPr>
      </w:pPr>
    </w:p>
    <w:p w:rsidR="007F452D" w:rsidRDefault="006007DF">
      <w:pPr>
        <w:pStyle w:val="Text"/>
        <w:contextualSpacing/>
        <w:jc w:val="both"/>
        <w:rPr>
          <w:rFonts w:ascii="Arial" w:hAnsi="Arial" w:cs="Arial"/>
          <w:bCs/>
          <w:color w:val="auto"/>
          <w:sz w:val="24"/>
          <w:szCs w:val="24"/>
        </w:rPr>
      </w:pPr>
      <w:r>
        <w:rPr>
          <w:rFonts w:ascii="Arial" w:hAnsi="Arial" w:cs="Arial"/>
          <w:bCs/>
          <w:color w:val="auto"/>
          <w:sz w:val="24"/>
          <w:szCs w:val="24"/>
        </w:rPr>
        <w:t>Wir werden die Eigentumsbildung für Familien finanziell unterstützen. Dafür führen wir für den Ersterwerb von Neubau oder Bestand ein Baukindergeld als Zuschuss aus dem Bundeshaushalt in Höhe von 1.200 Euro je Kind und pro Jahr ein, das über einen Zeitraum von zehn Jahren gezahlt wird. Das Baukindergeld wird flächendeckend bis zu einer Einkommensgrenze von 75.000 Euro zu versteuerndem Haushaltseinkommen pro Jahr und zusätzlich 15.000 Euro pro Kind gewährt.</w:t>
      </w:r>
    </w:p>
    <w:p w:rsidR="007F452D" w:rsidRDefault="007F452D">
      <w:pPr>
        <w:pStyle w:val="Text"/>
        <w:contextualSpacing/>
        <w:jc w:val="both"/>
        <w:rPr>
          <w:rFonts w:ascii="Arial" w:hAnsi="Arial" w:cs="Arial"/>
          <w:bCs/>
          <w:color w:val="auto"/>
          <w:sz w:val="24"/>
          <w:szCs w:val="24"/>
        </w:rPr>
      </w:pPr>
    </w:p>
    <w:p w:rsidR="007F452D" w:rsidRDefault="006007DF">
      <w:pPr>
        <w:pStyle w:val="Text"/>
        <w:ind w:left="-13"/>
        <w:contextualSpacing/>
        <w:jc w:val="both"/>
        <w:rPr>
          <w:rFonts w:ascii="Arial" w:hAnsi="Arial" w:cs="Arial"/>
          <w:color w:val="auto"/>
          <w:sz w:val="24"/>
          <w:szCs w:val="24"/>
        </w:rPr>
      </w:pPr>
      <w:r>
        <w:rPr>
          <w:rFonts w:ascii="Arial" w:hAnsi="Arial" w:cs="Arial"/>
          <w:color w:val="auto"/>
          <w:sz w:val="24"/>
          <w:szCs w:val="24"/>
        </w:rPr>
        <w:t xml:space="preserve">Wir wollen ein Bürgschaftsprogramm der KfW einführen, mit dem ein Anteil des Kaufpreises bzw. der Baukosten selbstgenutzten Wohneigentums‎ abgesichert wird. Dadurch kann das beim Erwerb notwendige Eigenkapital gesenkt werden. Die Bürgschaft soll für 20 Jahre gelten.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prüfen einen Freibetrag bei der Grunderwerbsteuer beim erstmaligen Erwerb von Wohngrundstücken für Familien ohne Rückwirkung beim Länderfinanzausgleich. </w:t>
      </w:r>
    </w:p>
    <w:p w:rsidR="007F452D" w:rsidRDefault="007F452D">
      <w:pPr>
        <w:pStyle w:val="Text"/>
        <w:ind w:left="-13"/>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Nach Abschluss der Prüfarbeiten durch Bund und Länder werden wir eine effektive und rechtssichere gesetzliche Regelung umsetzen, um missbräuchliche Steuergestaltungen bei der Grunderwerbsteuer mittels Share Deals zu beenden. Die gewonnenen Mehreinnahmen können von den Ländern zur Senkung der Steuersätze verwendet werden.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Die Wohnungsbauprämie behalten wir als Anreizinstrument insbesondere für junge Menschen, frühzeitig mit der Ansparphase zu beginnen, bei. Wir wollen sie attraktiver gestalten. Dazu wollen wir die Einkommensgrenzen an die allgemeine Einkommens- und Preisentwicklung anpassen und den Prämiensatz erhöhen.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Der Bund nimmt für seine Beschäftigten insbesondere in Gebieten mit angespannten Wohnungsmärkten die Wohnungsfürsorge verstärkt wahr.</w:t>
      </w:r>
    </w:p>
    <w:p w:rsidR="007F452D" w:rsidRDefault="007F452D">
      <w:pPr>
        <w:pStyle w:val="Text"/>
        <w:ind w:left="64"/>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lastRenderedPageBreak/>
        <w:t>Ältere Menschen und Menschen mit Behinderungen benötigen barrierefreie und barrierearme Wohnungen und ein Wohnumfeld, in dem sie möglichst lange selbstbestimmt leben können. Deshalb wollen wir das KfW-Programm „Altersgerecht Umbauen“ verstetigen. Zugleich wollen wir die Wiedereinführung der Kreditvariante des KfW-Programms „Altersgerecht Umbauen“ mit Bundesmitteln ebenso prüfen wie eine finanzielle Unterstützung des KfW-Programms „Barrierearme Stadt“.</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Das erfolgreiche KfW-Förderprogramm „Kriminalprävention durch Einbruchsicherung“ wollen wir ebenfalls verstetigen. Von der Förderung sollen Eigentümer, Mieter und private Kleinvermieter auch von Mehrfamilienhäusern, profitieren. Zudem wollen wir die Förderung von Maßnahmen zur Kriminalprävention auf den Neubau ausweiten.</w:t>
      </w:r>
    </w:p>
    <w:p w:rsidR="007F452D" w:rsidRDefault="007F452D">
      <w:pPr>
        <w:widowControl w:val="0"/>
        <w:tabs>
          <w:tab w:val="left" w:pos="220"/>
          <w:tab w:val="left" w:pos="720"/>
        </w:tabs>
        <w:suppressAutoHyphens/>
        <w:spacing w:after="0" w:line="240" w:lineRule="auto"/>
        <w:contextualSpacing/>
        <w:jc w:val="both"/>
        <w:rPr>
          <w:rFonts w:ascii="Arial" w:eastAsia="Arial Unicode MS" w:hAnsi="Arial" w:cs="Arial"/>
          <w:b/>
          <w:kern w:val="1"/>
          <w:sz w:val="24"/>
          <w:szCs w:val="24"/>
          <w:lang w:eastAsia="ar-SA"/>
        </w:rPr>
      </w:pPr>
    </w:p>
    <w:p w:rsidR="007F452D" w:rsidRDefault="006007DF">
      <w:pPr>
        <w:pStyle w:val="Text"/>
        <w:contextualSpacing/>
        <w:jc w:val="both"/>
        <w:rPr>
          <w:rFonts w:ascii="Arial" w:hAnsi="Arial" w:cs="Arial"/>
          <w:color w:val="auto"/>
          <w:kern w:val="1"/>
          <w:sz w:val="24"/>
          <w:szCs w:val="24"/>
          <w:lang w:eastAsia="ar-SA"/>
        </w:rPr>
      </w:pPr>
      <w:r>
        <w:rPr>
          <w:rFonts w:ascii="Arial" w:eastAsia="Times New Roman" w:hAnsi="Arial" w:cs="Arial"/>
          <w:iCs/>
          <w:color w:val="auto"/>
          <w:sz w:val="24"/>
          <w:szCs w:val="24"/>
        </w:rPr>
        <w:t>Wir werden die Regelungen des Wohnungseigentumsrechts reformieren und mit dem Mietrecht harmonisieren</w:t>
      </w:r>
      <w:r>
        <w:rPr>
          <w:rFonts w:ascii="Arial" w:hAnsi="Arial" w:cs="Arial"/>
          <w:color w:val="auto"/>
          <w:kern w:val="1"/>
          <w:sz w:val="24"/>
          <w:szCs w:val="24"/>
          <w:lang w:eastAsia="ar-SA"/>
        </w:rPr>
        <w:t>, um die Vorbereitung und Durchführung von Beschlüssen der Wohnungseigentümer über bauliche Maßnahmen insbesondere in den Bereichen Barrierefreiheit, energetische Sanierung, Förderung von Elektromobilität und Einbruchsschutz zu erleichtern.</w:t>
      </w:r>
    </w:p>
    <w:p w:rsidR="007F452D" w:rsidRDefault="007F452D">
      <w:pPr>
        <w:suppressAutoHyphens/>
        <w:spacing w:after="0" w:line="240" w:lineRule="auto"/>
        <w:contextualSpacing/>
        <w:jc w:val="both"/>
        <w:rPr>
          <w:rFonts w:ascii="Arial" w:eastAsia="Arial Unicode MS" w:hAnsi="Arial" w:cs="Arial"/>
          <w:b/>
          <w:kern w:val="1"/>
          <w:sz w:val="24"/>
          <w:szCs w:val="24"/>
          <w:lang w:eastAsia="ar-SA"/>
        </w:rPr>
      </w:pPr>
    </w:p>
    <w:p w:rsidR="007F452D" w:rsidRDefault="006007DF" w:rsidP="0029759C">
      <w:pPr>
        <w:spacing w:after="0" w:line="240" w:lineRule="auto"/>
        <w:contextualSpacing/>
        <w:jc w:val="both"/>
        <w:rPr>
          <w:rFonts w:ascii="Arial" w:hAnsi="Arial" w:cs="Arial"/>
          <w:sz w:val="24"/>
          <w:szCs w:val="24"/>
        </w:rPr>
      </w:pPr>
      <w:r>
        <w:rPr>
          <w:rFonts w:ascii="Arial" w:hAnsi="Arial" w:cs="Arial"/>
          <w:sz w:val="24"/>
          <w:szCs w:val="24"/>
        </w:rPr>
        <w:t>Wir wollen das Engagement von Genossenschaften, kommunalen und kirchlichen Wohnungsunternehmen, nicht gewinnorientierten Initiativen und Stiftungen für den Neubau und eine sozialverträgliche Sanierung im Sinne einer Gemeinwohlorientierung unterstützen. Wir wollen dazu gezielt langfristige Finanzierungen und Bürgschaften über 20 Jahre durch die KfW zur Verfügung stellen. Mit Beratung, weiteren innovativen Finanzierungsmodellen und einem Austausch guter Beispiele wollen wir auch Neugründungen in diesem Feld unterstützen.</w:t>
      </w:r>
    </w:p>
    <w:p w:rsidR="007F452D" w:rsidRDefault="007F452D">
      <w:pPr>
        <w:spacing w:after="0" w:line="240" w:lineRule="auto"/>
        <w:contextualSpacing/>
        <w:jc w:val="both"/>
        <w:rPr>
          <w:rFonts w:ascii="Arial" w:hAnsi="Arial" w:cs="Arial"/>
          <w:sz w:val="24"/>
          <w:szCs w:val="24"/>
        </w:rPr>
      </w:pPr>
    </w:p>
    <w:p w:rsidR="007F452D" w:rsidRDefault="006007DF">
      <w:pPr>
        <w:pStyle w:val="Text"/>
        <w:contextualSpacing/>
        <w:jc w:val="both"/>
        <w:rPr>
          <w:rFonts w:ascii="Arial" w:hAnsi="Arial" w:cs="Arial"/>
          <w:sz w:val="24"/>
          <w:szCs w:val="24"/>
        </w:rPr>
      </w:pPr>
      <w:r>
        <w:rPr>
          <w:rFonts w:ascii="Arial" w:hAnsi="Arial" w:cs="Arial"/>
          <w:sz w:val="24"/>
          <w:szCs w:val="24"/>
        </w:rPr>
        <w:t xml:space="preserve">Wir wollen eine Anpassung des Wohngeldes an die jeweiligen allgemeinen und individuellen Lebensbedingungen vornehmen. Die Veränderung der maßgeblichen Kriterien wollen wir regelmäßig prüfen.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Die Einführung einer Klimakomponente beim Wohngeld erfolgt nach Vorlage eines mit den Ländern inhaltlich und finanziell abgestimmten Modells.</w:t>
      </w:r>
    </w:p>
    <w:p w:rsidR="007F452D" w:rsidRDefault="007F452D">
      <w:pPr>
        <w:pStyle w:val="Text"/>
        <w:contextualSpacing/>
        <w:jc w:val="both"/>
        <w:rPr>
          <w:rFonts w:ascii="Arial" w:hAnsi="Arial" w:cs="Arial"/>
          <w:color w:val="auto"/>
          <w:sz w:val="24"/>
          <w:szCs w:val="24"/>
        </w:rPr>
      </w:pPr>
    </w:p>
    <w:p w:rsidR="007F452D" w:rsidRDefault="006007DF">
      <w:pPr>
        <w:pStyle w:val="berschrift2"/>
        <w:numPr>
          <w:ilvl w:val="1"/>
          <w:numId w:val="23"/>
        </w:numPr>
        <w:rPr>
          <w:szCs w:val="24"/>
        </w:rPr>
      </w:pPr>
      <w:bookmarkStart w:id="50" w:name="_Toc505767174"/>
      <w:r>
        <w:t>Mieten</w:t>
      </w:r>
      <w:bookmarkEnd w:id="50"/>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werden durch gesetzliche Mindestanforderungen eine standardisierte Gestaltung qualifizierter Mietspiegel sichern. Unser Ziel ist es, eine repräsentative und differenzierte Qualität dieses Instruments zur rechtssicheren und zuverlässigen Abbildung der Vergleichsmiete zu gewährleisten. Wir wollen erreichen, dass die tatsächlichen Marktverhältnisse auf zuverlässiger Datengrundlage differenziert dargestellt werden.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Die Ausgestaltung der neuen Vorgaben für qualifizierte Mietspiegel erfolgt so, dass die für die Erstellung und Fortschreibung anfallenden Kosten für die Gemeinden möglichst gering bleiben.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Dazu werden wir den Bindungszeitraum für einen qualifizierten Mietspiegel von zwei auf drei Jahre verlängern. Dadurch wird zugleich der Mietenanstieg gedämpft.</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Die Verlängerung des Betrachtungszeitraums wird geprüft.</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lastRenderedPageBreak/>
        <w:t xml:space="preserve">Der einfache Mietspiegel soll insbesondere in kleineren Städten und Gemeinden als Instrument der Orientierung und des Rechtsfriedens stärker zu Anwendung kommen.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wollen mit einer gesetzlichen Auskunftspflicht des Vermieters bezüglich der Vormiete – wenn sich der Vermieter bei der Begründung des Mietverhältnisses auf diese beruft – mehr Transparenz bei der Mietpreisbremse erreichen.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Die Mietpreisbremse wird frühzeitig bis Ende 2018 auf Geeignetheit und Wirksamkeit bewertet. Dabei werden die praktische Bedeutung und die Erkenntnisse aus der Rechtsprechung berücksichtigt.</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werden die Anforderungen an eine qualifizierte Rüge des Mieters bezüglich der Miethöhe erleichtern. Künftig soll eine einfache Rüge der Miethöhe ausreichen.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wollen Mieter besser vor bewusstem Missbrauch bei der Ankündigung und der Durchführung von Modernisierungsmaßnahmen schützen. Das gezielte Herausmodernisieren wird künftig den Tatbestand einer Ordnungswidrigkeit erfüllen und für Mieter Schadensersatzansprüche begründen.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In Gebieten geltender Kappungsgrenze für Mieterhöhungen wird die Modernisierungsumlage auf acht Prozent abgesenkt. Diese Regelung wird auf fünf Jahre befristet und zum Laufzeitende überprüft.</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wollen verhindern, dass Mieter durch Modernisierungsmaßnahmen unverhältnismäßig belastet werden. Die monatliche Miete darf künftig nach einer Modernisierung nicht um mehr als drei Euro pro Quadratmeter Wohnfläche innerhalb von sechs Jahren erhöht werden (Kappungsgrenze).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Für kleinere Modernisierungen werden wir ein optionales, vereinfachtes Mieterhöhungsverfahren einführen, bei dem die formellen Anforderungen an die Ankündigung abgesenkt werden und ein maximaler Betrag von 10.000 Euro unter Berücksichtigung eines Instandhaltungsanteils von 30 Prozent umgelegt werden kann.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Wir werden die neuen mietrechtlichen Regelungen innerhalb des Gesetzespaketes zur Wohnraumoffensive auf den Weg bringen.</w:t>
      </w:r>
    </w:p>
    <w:p w:rsidR="007F452D" w:rsidRDefault="007F452D">
      <w:pPr>
        <w:pStyle w:val="Text"/>
        <w:contextualSpacing/>
        <w:jc w:val="both"/>
        <w:rPr>
          <w:rFonts w:ascii="Arial" w:hAnsi="Arial" w:cs="Arial"/>
          <w:color w:val="auto"/>
          <w:sz w:val="24"/>
          <w:szCs w:val="24"/>
        </w:rPr>
      </w:pPr>
    </w:p>
    <w:p w:rsidR="007F452D" w:rsidRDefault="006007DF">
      <w:pPr>
        <w:pStyle w:val="berschrift2"/>
        <w:numPr>
          <w:ilvl w:val="1"/>
          <w:numId w:val="23"/>
        </w:numPr>
        <w:rPr>
          <w:szCs w:val="24"/>
        </w:rPr>
      </w:pPr>
      <w:bookmarkStart w:id="51" w:name="_Toc505767175"/>
      <w:r>
        <w:t>Stadtentwicklung</w:t>
      </w:r>
      <w:r>
        <w:rPr>
          <w:szCs w:val="24"/>
        </w:rPr>
        <w:t xml:space="preserve"> und Baukultur</w:t>
      </w:r>
      <w:bookmarkEnd w:id="51"/>
    </w:p>
    <w:p w:rsidR="007F452D" w:rsidRDefault="006007DF">
      <w:pPr>
        <w:suppressAutoHyphens/>
        <w:spacing w:after="0" w:line="240" w:lineRule="auto"/>
        <w:contextualSpacing/>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 xml:space="preserve">Wir sorgen dafür, dass zwischen Städten und ländlichen Regionen keine Kluft entsteht, dass die Menschen in diesem Land unabhängig von ihrem Wohnort gleichwertige Entwicklungschancen haben. </w:t>
      </w:r>
    </w:p>
    <w:p w:rsidR="007F452D" w:rsidRDefault="007F452D">
      <w:pPr>
        <w:pStyle w:val="Text"/>
        <w:contextualSpacing/>
        <w:jc w:val="both"/>
        <w:rPr>
          <w:rFonts w:ascii="Arial" w:hAnsi="Arial" w:cs="Arial"/>
          <w:color w:val="auto"/>
          <w:kern w:val="1"/>
          <w:sz w:val="24"/>
          <w:szCs w:val="24"/>
          <w:lang w:eastAsia="ar-SA"/>
        </w:rPr>
      </w:pPr>
    </w:p>
    <w:p w:rsidR="007F452D" w:rsidRDefault="006007DF">
      <w:pPr>
        <w:suppressAutoHyphens/>
        <w:spacing w:after="0" w:line="240" w:lineRule="auto"/>
        <w:contextualSpacing/>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 xml:space="preserve">Unser Ziel ist, die ländlichen Räume weiter zu stärken und Regionen und Städte zukunftsfest zu machen. Dazu gehören Investitionen in eine moderne Infrastruktur z. B. in den Bereichen Mobilität, Energie und Digitalisierung, in ein qualitativ hochwertiges Wohnumfeld und Sicherheit in öffentlichen Räumen. </w:t>
      </w:r>
    </w:p>
    <w:p w:rsidR="007F452D" w:rsidRDefault="007F452D">
      <w:pPr>
        <w:suppressAutoHyphens/>
        <w:spacing w:after="0" w:line="240" w:lineRule="auto"/>
        <w:contextualSpacing/>
        <w:jc w:val="both"/>
        <w:rPr>
          <w:rFonts w:ascii="Arial" w:eastAsia="Arial Unicode MS" w:hAnsi="Arial" w:cs="Arial"/>
          <w:kern w:val="1"/>
          <w:sz w:val="24"/>
          <w:szCs w:val="24"/>
          <w:lang w:eastAsia="ar-SA"/>
        </w:rPr>
      </w:pPr>
    </w:p>
    <w:p w:rsidR="007F452D" w:rsidRDefault="006007DF">
      <w:pPr>
        <w:suppressAutoHyphens/>
        <w:spacing w:after="0" w:line="240" w:lineRule="auto"/>
        <w:contextualSpacing/>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Die Beteiligung von Bürgerinnen und Bürgern und Unternehmen an den Prozessen der Stadtentwicklung wollen wir stärken und eine bessere Beteiligung von Privaten an der Städtebauförderung erreichen.</w:t>
      </w:r>
    </w:p>
    <w:p w:rsidR="007F452D" w:rsidRDefault="007F452D">
      <w:pPr>
        <w:suppressAutoHyphens/>
        <w:spacing w:after="0" w:line="240" w:lineRule="auto"/>
        <w:contextualSpacing/>
        <w:jc w:val="both"/>
        <w:rPr>
          <w:rFonts w:ascii="Arial" w:eastAsia="Arial Unicode MS" w:hAnsi="Arial" w:cs="Arial"/>
          <w:kern w:val="1"/>
          <w:sz w:val="24"/>
          <w:szCs w:val="24"/>
          <w:lang w:eastAsia="ar-SA"/>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lastRenderedPageBreak/>
        <w:t xml:space="preserve">Dazu unterstützen wir seit Jahrzehnten die Kommunen mit der Städtebauförderung. Mit Blick auf die sich örtlich und inhaltlich stetig verändernden Aufgaben der Stadtentwicklung ist diese Förderung auch zukünftig unverzichtbar. Wir wollen die Städtebauförderung daher als ein eigenständiges, eng an lokalen Problemlagen orientiertes Förderinstrument neben den Gemeinschaftsaufgaben beibehalten. Wir wollen die Städtebauförderung inklusive des Investitionspaktes „Soziale Integration im Quartier“ mindestens auf dem derzeitigen Niveau fortführen. Wir werden die Programme flexibilisieren, entbürokratisieren und weiterentwickeln.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Wir werden mit den Ländern die der Städtebauförderung zu Grunde liegende Grundvereinbarung neu verhandeln und wollen dabei den Verfügungsrahmen für gewährte Mittel der Städtebauförderung verlängern.</w:t>
      </w:r>
    </w:p>
    <w:p w:rsidR="007F452D" w:rsidRDefault="007F452D">
      <w:pPr>
        <w:pStyle w:val="Text"/>
        <w:contextualSpacing/>
        <w:jc w:val="both"/>
        <w:rPr>
          <w:rFonts w:ascii="Arial" w:hAnsi="Arial" w:cs="Arial"/>
          <w:iCs/>
          <w:color w:val="auto"/>
          <w:sz w:val="24"/>
          <w:szCs w:val="24"/>
        </w:rPr>
      </w:pPr>
    </w:p>
    <w:p w:rsidR="007F452D" w:rsidRDefault="006007DF">
      <w:pPr>
        <w:pStyle w:val="Text"/>
        <w:contextualSpacing/>
        <w:jc w:val="both"/>
        <w:rPr>
          <w:rFonts w:ascii="Arial" w:hAnsi="Arial" w:cs="Arial"/>
          <w:iCs/>
          <w:color w:val="auto"/>
          <w:sz w:val="24"/>
          <w:szCs w:val="24"/>
        </w:rPr>
      </w:pPr>
      <w:r>
        <w:rPr>
          <w:rFonts w:ascii="Arial" w:hAnsi="Arial" w:cs="Arial"/>
          <w:iCs/>
          <w:color w:val="auto"/>
          <w:sz w:val="24"/>
          <w:szCs w:val="24"/>
        </w:rPr>
        <w:t xml:space="preserve">Zur Vorbereitung einer Weiterentwicklung der Städtebauförderung wollen wir Modellprojekte gemeinsam mit einzelnen, unterschiedlich großen Kommunen realisieren, die beispielhaft Modernisierungs- und Anpassungsstrategien für den klimagerechten Umbau, Infrastruktur für neue Mobilitätsformen, für Nachverdichtung und Nebeneinander von Sport, Wohnen, Freizeit und Gewerbe und den sozialen Zusammenhalt entwickeln. </w:t>
      </w:r>
    </w:p>
    <w:p w:rsidR="007F452D" w:rsidRDefault="007F452D">
      <w:pPr>
        <w:pStyle w:val="Text"/>
        <w:contextualSpacing/>
        <w:jc w:val="both"/>
        <w:rPr>
          <w:rFonts w:ascii="Arial" w:hAnsi="Arial" w:cs="Arial"/>
          <w:iCs/>
          <w:color w:val="auto"/>
          <w:sz w:val="24"/>
          <w:szCs w:val="24"/>
        </w:rPr>
      </w:pPr>
    </w:p>
    <w:p w:rsidR="007F452D" w:rsidRDefault="006007DF">
      <w:pPr>
        <w:pStyle w:val="Text"/>
        <w:contextualSpacing/>
        <w:jc w:val="both"/>
        <w:rPr>
          <w:rFonts w:ascii="Arial" w:hAnsi="Arial" w:cs="Arial"/>
          <w:iCs/>
          <w:color w:val="auto"/>
          <w:sz w:val="24"/>
          <w:szCs w:val="24"/>
        </w:rPr>
      </w:pPr>
      <w:r>
        <w:rPr>
          <w:rFonts w:ascii="Arial" w:hAnsi="Arial" w:cs="Arial"/>
          <w:iCs/>
          <w:color w:val="auto"/>
          <w:sz w:val="24"/>
          <w:szCs w:val="24"/>
        </w:rPr>
        <w:t xml:space="preserve">Vor allem zur Unterstützung von Wohnungsbau prüfen wir die Sanierung und Herrichtung von Industriebrachen als eigenen Förderschwerpunkt. Unabhängig davon werden wir zur Förderung der Revitalisierung von Industrie- und Konversionsbrachflächen das Bundesimmissionsschutzgesetz und damit in Verbindung stehende </w:t>
      </w:r>
      <w:r w:rsidR="009863D9">
        <w:rPr>
          <w:rFonts w:ascii="Arial" w:hAnsi="Arial" w:cs="Arial"/>
          <w:iCs/>
          <w:color w:val="auto"/>
          <w:sz w:val="24"/>
          <w:szCs w:val="24"/>
        </w:rPr>
        <w:t xml:space="preserve">technische </w:t>
      </w:r>
      <w:r>
        <w:rPr>
          <w:rFonts w:ascii="Arial" w:hAnsi="Arial" w:cs="Arial"/>
          <w:iCs/>
          <w:color w:val="auto"/>
          <w:sz w:val="24"/>
          <w:szCs w:val="24"/>
        </w:rPr>
        <w:t xml:space="preserve">Anleitungen auf Anpassungsbedarfe in Bezug auf bestehende Hindernisse bei der Brachflächenaktivierung überprüfen und bis 2021 bestehende Hemmnisse beseitigen.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Das Programm „Nationale Projekte des Städtebaus“ wollen wir fortführen.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iCs/>
          <w:color w:val="auto"/>
          <w:sz w:val="24"/>
          <w:szCs w:val="24"/>
        </w:rPr>
      </w:pPr>
      <w:r>
        <w:rPr>
          <w:rFonts w:ascii="Arial" w:hAnsi="Arial" w:cs="Arial"/>
          <w:iCs/>
          <w:color w:val="auto"/>
          <w:sz w:val="24"/>
          <w:szCs w:val="24"/>
        </w:rPr>
        <w:t>Wir werden die ressortübergreifende Zusammenarbeit ausbauen. Gemeinsam mit Ländern und Kommunen wollen wir ehrenamtliches Engagement und gemeinwohlorientierte Initiativen stärken. Dafür wollen wir bestehende Rechtsgrundlagen sowie Finanzierungs- und Beratungsinstrumente überprüfen und wo nötig verbessern.</w:t>
      </w:r>
    </w:p>
    <w:p w:rsidR="007F452D" w:rsidRDefault="007F452D">
      <w:pPr>
        <w:pStyle w:val="Text"/>
        <w:contextualSpacing/>
        <w:jc w:val="both"/>
        <w:rPr>
          <w:rFonts w:ascii="Arial" w:hAnsi="Arial" w:cs="Arial"/>
          <w:iCs/>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Die Nationale Stadtentwicklungspolitik wollen wir als Förderinstrument für innovative, modellhafte Lösungen in der Stadtentwicklung stärken. Wir wollen Projektförderungen auf dem Feld der nachhaltigen Stadtentwicklung auch im Rahmen der Internationalen Klimaschutzinitiative (IKI) erheblich ausweiten. Wir wollen das World Urban Forum 2022 in Deutschland ausrichten.</w:t>
      </w:r>
    </w:p>
    <w:p w:rsidR="007F452D" w:rsidRDefault="007F452D">
      <w:pPr>
        <w:pStyle w:val="Text"/>
        <w:contextualSpacing/>
        <w:jc w:val="both"/>
        <w:rPr>
          <w:rFonts w:ascii="Arial" w:hAnsi="Arial" w:cs="Arial"/>
          <w:i/>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Wir wollen Städte, Kreise und Gemeinden bei der digitalen Modernisierung und Entwicklung zu Smart Cities aktiv begleiten. Dazu werden wir</w:t>
      </w:r>
      <w:r>
        <w:rPr>
          <w:rFonts w:ascii="Arial" w:hAnsi="Arial" w:cs="Arial"/>
          <w:b/>
          <w:color w:val="auto"/>
          <w:sz w:val="24"/>
          <w:szCs w:val="24"/>
        </w:rPr>
        <w:t xml:space="preserve"> </w:t>
      </w:r>
      <w:r>
        <w:rPr>
          <w:rFonts w:ascii="Arial" w:hAnsi="Arial" w:cs="Arial"/>
          <w:color w:val="auto"/>
          <w:sz w:val="24"/>
          <w:szCs w:val="24"/>
        </w:rPr>
        <w:t>die Dialogplattform „Smart Cities“ fortsetzen und zukunftsfähige Modellprojekte in Deutschland fördern.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Die Bundesstiftung Baukultur wollen wir als wichtige Institution zur Förderung der Baukultur ausbauen. Mit der Wiedererrichtung der Schinkel‘schen Bauakademie werden wir ein nationales und internationales Schaufenster für Architektur, Baukunst, Handwerk und Stadtentwicklung schaffen. Das zum Erhalt der „Weißen Stadt" Tel Aviv als deutsch-israelische Kooperation in Tel Aviv eingerichtete Architektur- und Denkmalschutzzentrum unterstützen wir weiter finanziell und organisatorisch. </w:t>
      </w: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lastRenderedPageBreak/>
        <w:t xml:space="preserve">Die Arbeit der unabhängigen Historikerkommission zur Erforschung der NS-Vergangenheit der für Stadtentwicklung, Wohnungswesen und Bauen zuständigen Institutionen werden wir unterstützen und wollen die für das Projekt notwendigen Mittel bereitstellen. </w:t>
      </w:r>
    </w:p>
    <w:p w:rsidR="007F452D" w:rsidRDefault="007F452D">
      <w:pPr>
        <w:pStyle w:val="Text"/>
        <w:contextualSpacing/>
        <w:jc w:val="both"/>
        <w:rPr>
          <w:rFonts w:ascii="Arial" w:hAnsi="Arial" w:cs="Arial"/>
          <w:color w:val="auto"/>
          <w:sz w:val="24"/>
          <w:szCs w:val="24"/>
        </w:rPr>
      </w:pPr>
    </w:p>
    <w:p w:rsidR="007F452D" w:rsidRDefault="006007DF">
      <w:pPr>
        <w:pStyle w:val="berschrift2"/>
        <w:numPr>
          <w:ilvl w:val="1"/>
          <w:numId w:val="23"/>
        </w:numPr>
        <w:rPr>
          <w:szCs w:val="24"/>
        </w:rPr>
      </w:pPr>
      <w:bookmarkStart w:id="52" w:name="_Toc505767176"/>
      <w:r>
        <w:rPr>
          <w:szCs w:val="24"/>
        </w:rPr>
        <w:t>I</w:t>
      </w:r>
      <w:r>
        <w:t>nnovation</w:t>
      </w:r>
      <w:r>
        <w:rPr>
          <w:bCs w:val="0"/>
        </w:rPr>
        <w:t xml:space="preserve"> und Wirtschaftlichkeit beim Bauen</w:t>
      </w:r>
      <w:bookmarkEnd w:id="52"/>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Der Bausektor ist einer der größten Arbeitgeber in Deutschland und auch im internationalen Vergleich leistungs- und innovationsstark. Wir wollen die internationale Wettbewerbsfähigkeit des Baubereiches stärken, die Qualifizierung und Ausbildung von Fachkräften verbessern, der Bauwirtschaft Planungssicherheit für Kapazitäts- und Beschäftigungsaufbau geben, sie unterstützen bei der Suche nach innovativen Lösungen und die Bauverwaltungen leistungsfähiger machen. Das Potenzial für wettbewerbsfähige und wirtschaftliche Lösungen insbesondere beim klimagerechten, ressourcenschonenden und bezahlbaren Bauen wollen wir erschließen.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Wir wollen für die Erreichung der Klimaziele und zur Beschleunigung der Energiewende im Wärmesektor die Energieeffizienz und den Einsatz Erneuerbarer Energien im Gebäudebereich weiter voranbringen. Dabei gelten für uns weiterhin die Grund-sätze der Wirtschaftlichkeit, der Technologieoffenheit, der Vereinfachung sowie der Freiwilligkeit. Die anzustrebenden CO</w:t>
      </w:r>
      <w:r>
        <w:rPr>
          <w:rFonts w:ascii="Arial" w:hAnsi="Arial" w:cs="Arial"/>
          <w:color w:val="auto"/>
          <w:sz w:val="24"/>
          <w:szCs w:val="24"/>
          <w:vertAlign w:val="subscript"/>
        </w:rPr>
        <w:t>2</w:t>
      </w:r>
      <w:r>
        <w:rPr>
          <w:rFonts w:ascii="Arial" w:hAnsi="Arial" w:cs="Arial"/>
          <w:color w:val="auto"/>
          <w:sz w:val="24"/>
          <w:szCs w:val="24"/>
        </w:rPr>
        <w:t xml:space="preserve">-Einsparungen können auch auf Quartiersebene bilanziert werden. </w:t>
      </w:r>
    </w:p>
    <w:p w:rsidR="007F452D" w:rsidRDefault="007F452D">
      <w:pPr>
        <w:pStyle w:val="Text"/>
        <w:contextualSpacing/>
        <w:jc w:val="both"/>
        <w:rPr>
          <w:rFonts w:ascii="Arial" w:hAnsi="Arial" w:cs="Arial"/>
          <w:color w:val="auto"/>
          <w:sz w:val="24"/>
          <w:szCs w:val="24"/>
        </w:rPr>
      </w:pPr>
    </w:p>
    <w:p w:rsidR="007F452D" w:rsidRDefault="006007DF">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Pr>
          <w:rFonts w:ascii="Arial" w:hAnsi="Arial" w:cs="Arial"/>
          <w:color w:val="auto"/>
          <w:sz w:val="24"/>
          <w:szCs w:val="24"/>
        </w:rPr>
        <w:t>Wir werden das Ordnungsrecht entbürokratisieren und vereinfachen und die Vorschriften der EnEV, des EnergieeinsparG und des EEWärmeG in einem modernen Gebäudeenergiegesetz zusammenführen und damit die Anforderungen des EU-Rechts zum 1. Januar 2019 für öffentliche Gebäude und zum 1. Januar 2021 für alle Gebäude umsetzen. Dabei gelten die aktuellen energetischen Anforderungen für Bestand und Neubau fort. Wir wollen dadurch insbesondere den weiteren Kostenauftrieb für die Mietpreise vermeiden. Zusätzlich werden wir den Quartiersansatz einführen. Mögliche Vorteile einer Umstellung künftiger gesetzlicher Anforderungen auf die CO</w:t>
      </w:r>
      <w:r>
        <w:rPr>
          <w:rFonts w:ascii="Arial" w:hAnsi="Arial" w:cs="Arial"/>
          <w:color w:val="auto"/>
          <w:sz w:val="24"/>
          <w:szCs w:val="24"/>
          <w:vertAlign w:val="subscript"/>
        </w:rPr>
        <w:t>2</w:t>
      </w:r>
      <w:r>
        <w:rPr>
          <w:rFonts w:ascii="Arial" w:hAnsi="Arial" w:cs="Arial"/>
          <w:color w:val="auto"/>
          <w:sz w:val="24"/>
          <w:szCs w:val="24"/>
        </w:rPr>
        <w:t>-Emissionen werden wir prüfen. Die mögliche Umstellung soll spätestens bis zum 1. Januar 2023 eingeführt werden.</w:t>
      </w:r>
    </w:p>
    <w:p w:rsidR="007F452D" w:rsidRDefault="007F452D">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p>
    <w:p w:rsidR="007F452D" w:rsidRDefault="006007DF">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Pr>
          <w:rFonts w:ascii="Arial" w:hAnsi="Arial" w:cs="Arial"/>
          <w:color w:val="auto"/>
          <w:sz w:val="24"/>
          <w:szCs w:val="24"/>
        </w:rPr>
        <w:t>Die Förderung der energetischen Gebäudesanierung wollen wir fortführen und die bestehenden Programme überarbeiten und besser aufeinander abstimmen. Dabei wollen wir erreichen, dass jeder eingesetzte öffentliche Euro dazu beiträgt, möglichst viel CO</w:t>
      </w:r>
      <w:r>
        <w:rPr>
          <w:rFonts w:ascii="Arial" w:hAnsi="Arial" w:cs="Arial"/>
          <w:color w:val="auto"/>
          <w:sz w:val="24"/>
          <w:szCs w:val="24"/>
          <w:vertAlign w:val="subscript"/>
        </w:rPr>
        <w:t>2</w:t>
      </w:r>
      <w:r>
        <w:rPr>
          <w:rFonts w:ascii="Arial" w:hAnsi="Arial" w:cs="Arial"/>
          <w:color w:val="auto"/>
          <w:sz w:val="24"/>
          <w:szCs w:val="24"/>
        </w:rPr>
        <w:t xml:space="preserve"> einzusparen.</w:t>
      </w:r>
    </w:p>
    <w:p w:rsidR="007F452D" w:rsidRDefault="007F452D">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p>
    <w:p w:rsidR="007F452D" w:rsidRDefault="006007DF">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Pr>
          <w:rFonts w:ascii="Arial" w:hAnsi="Arial" w:cs="Arial"/>
          <w:color w:val="auto"/>
          <w:sz w:val="24"/>
          <w:szCs w:val="24"/>
        </w:rPr>
        <w:t>Wir wollen das CO</w:t>
      </w:r>
      <w:r>
        <w:rPr>
          <w:rFonts w:ascii="Arial" w:hAnsi="Arial" w:cs="Arial"/>
          <w:color w:val="auto"/>
          <w:sz w:val="24"/>
          <w:szCs w:val="24"/>
          <w:vertAlign w:val="subscript"/>
        </w:rPr>
        <w:t>2</w:t>
      </w:r>
      <w:r>
        <w:rPr>
          <w:rFonts w:ascii="Arial" w:hAnsi="Arial" w:cs="Arial"/>
          <w:color w:val="auto"/>
          <w:sz w:val="24"/>
          <w:szCs w:val="24"/>
        </w:rPr>
        <w:t>-Gebäudesanierungsprogramm fortsetzen. Der Austausch von alten, ineffizienten Heizungsanlagen gegen moderne, hocheffiziente Heizungen (auch Brennwertkessel) wird weiterhin zur Erreichung unserer Klimaziele gefördert.</w:t>
      </w:r>
    </w:p>
    <w:p w:rsidR="007F452D" w:rsidRDefault="007F452D">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p>
    <w:p w:rsidR="007F452D" w:rsidRDefault="006007DF">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Pr>
          <w:rFonts w:ascii="Arial" w:hAnsi="Arial" w:cs="Arial"/>
          <w:color w:val="auto"/>
          <w:sz w:val="24"/>
          <w:szCs w:val="24"/>
        </w:rPr>
        <w:t xml:space="preserve">Wir wollen die energetische Gebäudesanierung steuerlich fördern. Dabei werden wir für die Antragsteller ein Wahlrecht zwischen einer Zuschussförderung und einer Reduzierung des zu versteuernden Einkommens vorsehen. </w:t>
      </w:r>
    </w:p>
    <w:p w:rsidR="007F452D" w:rsidRDefault="007F452D">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p>
    <w:p w:rsidR="007F452D" w:rsidRDefault="006007DF">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Pr>
          <w:rFonts w:ascii="Arial" w:hAnsi="Arial" w:cs="Arial"/>
          <w:color w:val="auto"/>
          <w:sz w:val="24"/>
          <w:szCs w:val="24"/>
        </w:rPr>
        <w:t>Die Vorbildfunktion der öffentlichen Hand im Gebäudebereich nehmen wir ernst. Wir wollen einen Gebäudeeffizienzerlass sowie einen energetischen Sanierungsfahrplan Bundesliegenschaften beschließen und im Rahmen der Finanzplanung konsequent umsetzen. Dabei sind die Klimaschutzziele unter Beachtung des Wirtschaftlichkeitsgebots und der Kosteneffizienz zu erreichen.</w:t>
      </w:r>
    </w:p>
    <w:p w:rsidR="007F452D" w:rsidRDefault="006007DF">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Pr>
          <w:rFonts w:ascii="Arial" w:hAnsi="Arial" w:cs="Arial"/>
          <w:color w:val="auto"/>
          <w:sz w:val="24"/>
          <w:szCs w:val="24"/>
        </w:rPr>
        <w:lastRenderedPageBreak/>
        <w:t>Die Energieberatung wollen wir ausbauen und adressatengerechter gestalten.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Die Innovationen bei der Gebäudetechnik werden immer schneller. Die Technologie von morgen muss auch künftig ihre Chance im Wettbewerb haben. Deshalb wollen wir bei der Erarbeitung der Maßnahmen zur Erreichung der Klimaziele im Gebäudebereich technologische Innovationen besonders fördern.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Die öffentlichen Bauleistungen sind ein wichtiger Wirtschaftsfaktor. Sie fördern insbesondere den Mittelstand. Die Vergabe- und Vertragsordnung für Bauleistungen (VOB) als faire, wettbewerbsneutrale und von allen Bauverbänden getragene Verfahrensregelung garantiert gute Bauleistungen. Sie ist zu sichern und anwenderorientiert weiterzuentwickeln.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u w:val="single"/>
        </w:rPr>
      </w:pPr>
      <w:r>
        <w:rPr>
          <w:rFonts w:ascii="Arial" w:hAnsi="Arial" w:cs="Arial"/>
          <w:color w:val="auto"/>
          <w:sz w:val="24"/>
          <w:szCs w:val="24"/>
        </w:rPr>
        <w:t xml:space="preserve">Die Arbeit der im Rahmen des „Bündnisses für bezahlbares Wohnen und Bauen“ eingesetzten Baukostensenkungskommission wird fortgesetzt. An den zur Umsetzung ihrer Empfehlungen eingeleiteten Maßnahmen für die Begrenzung der Baukosten wird weitergearbeitet. Wir werden Maßnahmen vermeiden, die die Schaffung von Wohnraum verteuern. Normen müssen auf ihren Nutzen überprüft und auf ihren erforderlichen Umfang reduziert werden. Durch Abschaffung überflüssiger Vorschriften auf allen Ebenen wollen wir Kostensenkungspotenziale erschließen. </w:t>
      </w:r>
      <w:r>
        <w:rPr>
          <w:rFonts w:ascii="Arial" w:hAnsi="Arial" w:cs="Arial"/>
          <w:color w:val="auto"/>
          <w:kern w:val="1"/>
          <w:sz w:val="24"/>
          <w:szCs w:val="24"/>
          <w:lang w:eastAsia="ar-SA"/>
        </w:rPr>
        <w:t>Wir setzen uns dafür ein, dass für jede neue Normung im Bereich des Bauens eine Folgeabschätzung für die Kosten des Bauens und Wohnens vorgenommen wird, die zur Entscheidungsgrundlage über die Einführung einer Normung gemacht und öffentlich zugänglich (Internetportal) dokumentiert wird.</w:t>
      </w:r>
      <w:r>
        <w:rPr>
          <w:rFonts w:ascii="Arial" w:hAnsi="Arial" w:cs="Arial"/>
          <w:color w:val="auto"/>
          <w:sz w:val="24"/>
          <w:szCs w:val="24"/>
        </w:rPr>
        <w:t xml:space="preserve"> Wir streben eine stärkere Harmonisierung des Bauordnungsrechts im Einklang mit den Ländern an, insbesondere beim Brandschutz. Das serielle und modulare Bauen soll im Rahmen des Forschungsprogramms „Zukunft Bau“ weiterentwickelt und in Modellprojekten erprobt werden. Wir wollen die Länder dabei unterstützen, referenzielle Baugenehmigungen einzuführen.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Wir wollen eine gemeinsame Initiative mit der Bauwirtschaft und weiteren betroffenen Partnern anschieben, um ein Maßnahmenbündel gegen Arbeitskräftemangel zu entwickeln.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Das Reformprogramm für den Bundesbau ist zügig umzusetzen. Innerhalb der Bundesregierung ist das Bauministerium zuständig für den Bundesbau und die für den Bund tätigen Bauverwaltungen. Das Bundesamt für Bauwesen und Raumordnung (BBR) soll gestärkt und mit dem für die Qualitätssicherung des Bundesbaus notwendigen Personal ausgestattet werden.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Der zunehmenden Gefährdung von In- und Auslandsliegenschaften des Bundes wollen wir mit einem verbesserten baulichen Schutz insbesondere bei deutschen Vertretungen in Ländern mit hohem Gefährdungspotenzial begegnen.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Wir wollen die Digitalisierung des Planens und Bauens in der gesamten Wertschöpfungskette Bau vorantreiben und dabei die Interessen des Mittelstands und kleinerer Planungsbüros berücksichtigen. Dazu gehört die Weiterentwicklung des Building Information Modelling (BIM) für alle Planungs- und Baudisziplinen. Bei Baumaßnahmen des Bundes wollen wir BIM verstärkt zum Einsatz bringen. </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 xml:space="preserve">Die Honorarordnung für Architekten und Ingenieure (HOAI) ist ein unverzichtbares Instrument zur Sicherung von Bauqualität und Baukultur und Voraussetzung eines </w:t>
      </w:r>
      <w:r>
        <w:rPr>
          <w:rFonts w:ascii="Arial" w:hAnsi="Arial" w:cs="Arial"/>
          <w:color w:val="auto"/>
          <w:sz w:val="24"/>
          <w:szCs w:val="24"/>
        </w:rPr>
        <w:lastRenderedPageBreak/>
        <w:t>fairen Leistungswettbewerbs. Wir werden uns für den Erhalt in Deutschland auf europäischer Ebene einsetzen. Wir wollen die hohe Qualität der Ausbildung von Architekten und Ingenieuren auch künftig sicherstellen.</w:t>
      </w:r>
    </w:p>
    <w:p w:rsidR="007F452D" w:rsidRDefault="007F452D">
      <w:pPr>
        <w:pStyle w:val="Text"/>
        <w:contextualSpacing/>
        <w:jc w:val="both"/>
        <w:rPr>
          <w:rFonts w:ascii="Arial" w:hAnsi="Arial" w:cs="Arial"/>
          <w:color w:val="auto"/>
          <w:sz w:val="24"/>
          <w:szCs w:val="24"/>
          <w:u w:val="single"/>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Die Forschungsinitiative Zukunft Bau wollen wir fortsetzen und mit Blick auf die Themen Klimaschutz und CO</w:t>
      </w:r>
      <w:r>
        <w:rPr>
          <w:rFonts w:ascii="Arial" w:hAnsi="Arial" w:cs="Arial"/>
          <w:color w:val="auto"/>
          <w:sz w:val="24"/>
          <w:szCs w:val="24"/>
          <w:vertAlign w:val="subscript"/>
        </w:rPr>
        <w:t>2</w:t>
      </w:r>
      <w:r>
        <w:rPr>
          <w:rFonts w:ascii="Arial" w:hAnsi="Arial" w:cs="Arial"/>
          <w:color w:val="auto"/>
          <w:sz w:val="24"/>
          <w:szCs w:val="24"/>
        </w:rPr>
        <w:t>-neutrale Gebäudekonzepte, studentisches Wohnen, bezahlbares Bauen, Digitalisierung und Holzbau entsprechend weiterentwickeln. Beim Bauen mit Holz sehen wir weiteres Entwicklungspotenzial und wollen prüfen, mit welchen Maßnahmen bestehende Hürden und Hemmnisse abgebaut werden können.</w:t>
      </w:r>
    </w:p>
    <w:p w:rsidR="007F452D" w:rsidRDefault="007F452D">
      <w:pPr>
        <w:spacing w:after="0" w:line="240" w:lineRule="auto"/>
        <w:contextualSpacing/>
        <w:rPr>
          <w:rStyle w:val="xxt"/>
          <w:rFonts w:ascii="Arial" w:hAnsi="Arial" w:cs="Arial"/>
          <w:b/>
          <w:sz w:val="24"/>
          <w:szCs w:val="24"/>
        </w:rPr>
      </w:pPr>
    </w:p>
    <w:p w:rsidR="007F452D" w:rsidRDefault="006007DF">
      <w:pPr>
        <w:pStyle w:val="berschrift2"/>
        <w:numPr>
          <w:ilvl w:val="1"/>
          <w:numId w:val="23"/>
        </w:numPr>
        <w:rPr>
          <w:szCs w:val="24"/>
        </w:rPr>
      </w:pPr>
      <w:bookmarkStart w:id="53" w:name="_Toc505767177"/>
      <w:r>
        <w:t>Heimat</w:t>
      </w:r>
      <w:r>
        <w:rPr>
          <w:szCs w:val="24"/>
        </w:rPr>
        <w:t xml:space="preserve"> mit Zukunft</w:t>
      </w:r>
      <w:bookmarkEnd w:id="53"/>
    </w:p>
    <w:p w:rsidR="007F452D" w:rsidRDefault="006007DF">
      <w:pPr>
        <w:spacing w:after="0" w:line="240" w:lineRule="auto"/>
        <w:contextualSpacing/>
        <w:jc w:val="both"/>
        <w:rPr>
          <w:rFonts w:ascii="Arial" w:eastAsia="Times New Roman" w:hAnsi="Arial" w:cs="Arial"/>
          <w:bCs/>
          <w:iCs/>
          <w:sz w:val="24"/>
          <w:szCs w:val="24"/>
        </w:rPr>
      </w:pPr>
      <w:r>
        <w:rPr>
          <w:rFonts w:ascii="Arial" w:eastAsia="Times New Roman" w:hAnsi="Arial" w:cs="Arial"/>
          <w:bCs/>
          <w:iCs/>
          <w:sz w:val="24"/>
          <w:szCs w:val="24"/>
        </w:rPr>
        <w:t xml:space="preserve">Kommunen sind die Heimat der Menschen und das Fundament des Staates. </w:t>
      </w:r>
      <w:r>
        <w:rPr>
          <w:rFonts w:ascii="Arial" w:eastAsia="Times New Roman" w:hAnsi="Arial" w:cs="Arial"/>
          <w:iCs/>
          <w:sz w:val="24"/>
          <w:szCs w:val="24"/>
        </w:rPr>
        <w:t>Der Bund setzt sich intensiv für eine Verbesserung der kommunalen Finanzlage und eine Stärkung der kommunalen Selbstverwaltung ein. In der letzten Legislaturperiode haben wir die Kommunen in besonderer Weise unterstützt.</w:t>
      </w:r>
      <w:r>
        <w:rPr>
          <w:rFonts w:ascii="Arial" w:eastAsia="Times New Roman" w:hAnsi="Arial" w:cs="Arial"/>
          <w:bCs/>
          <w:iCs/>
          <w:sz w:val="24"/>
          <w:szCs w:val="24"/>
        </w:rPr>
        <w:t xml:space="preserve"> </w:t>
      </w:r>
      <w:r>
        <w:rPr>
          <w:rFonts w:ascii="Arial" w:eastAsia="Times New Roman" w:hAnsi="Arial" w:cs="Arial"/>
          <w:iCs/>
          <w:sz w:val="24"/>
          <w:szCs w:val="24"/>
        </w:rPr>
        <w:t>Unser Ziel sind gleichwertige Lebensverhältnisse in handlungs- und leistungsfähigen Kommunen in städtischen und ländlichen Räumen, in Ost und West.</w:t>
      </w:r>
    </w:p>
    <w:p w:rsidR="007F452D" w:rsidRDefault="007F452D">
      <w:pPr>
        <w:spacing w:after="0" w:line="240" w:lineRule="auto"/>
        <w:contextualSpacing/>
        <w:jc w:val="both"/>
        <w:rPr>
          <w:rFonts w:ascii="Arial" w:eastAsia="Times New Roman" w:hAnsi="Arial" w:cs="Arial"/>
          <w:sz w:val="24"/>
          <w:szCs w:val="24"/>
        </w:rPr>
      </w:pPr>
    </w:p>
    <w:p w:rsidR="007F452D" w:rsidRDefault="006007DF">
      <w:pPr>
        <w:pStyle w:val="berschrift3"/>
        <w:contextualSpacing/>
        <w:rPr>
          <w:rFonts w:cs="Arial"/>
          <w:szCs w:val="24"/>
        </w:rPr>
      </w:pPr>
      <w:r>
        <w:rPr>
          <w:rFonts w:cs="Arial"/>
          <w:szCs w:val="24"/>
        </w:rPr>
        <w:t>Gleichwertige Lebensverhältnisse schaffen</w:t>
      </w:r>
    </w:p>
    <w:p w:rsidR="007F452D" w:rsidRDefault="006007DF">
      <w:pPr>
        <w:spacing w:after="0" w:line="240" w:lineRule="auto"/>
        <w:contextualSpacing/>
        <w:jc w:val="both"/>
        <w:rPr>
          <w:rFonts w:ascii="Arial" w:eastAsia="Times New Roman" w:hAnsi="Arial" w:cs="Arial"/>
          <w:bCs/>
          <w:iCs/>
          <w:sz w:val="24"/>
          <w:szCs w:val="24"/>
        </w:rPr>
      </w:pPr>
      <w:r>
        <w:rPr>
          <w:rFonts w:ascii="Arial" w:eastAsia="Times New Roman" w:hAnsi="Arial" w:cs="Arial"/>
          <w:bCs/>
          <w:iCs/>
          <w:sz w:val="24"/>
          <w:szCs w:val="24"/>
        </w:rPr>
        <w:t>Ein neues gesamtdeutsches Fördersystem für strukturschwache Regionen, Städte, Gemeinden und Kreise richtet sich gegen wachsende Ungleichheit zwischen Städten und Regionen und dient dem Ziel der Herstellung gleichwertiger Lebensverhältnisse in Deutschland.</w:t>
      </w:r>
    </w:p>
    <w:p w:rsidR="007F452D" w:rsidRDefault="007F452D">
      <w:pPr>
        <w:spacing w:after="0" w:line="240" w:lineRule="auto"/>
        <w:contextualSpacing/>
        <w:jc w:val="both"/>
        <w:rPr>
          <w:rFonts w:ascii="Arial" w:eastAsia="Times New Roman" w:hAnsi="Arial" w:cs="Arial"/>
          <w:bCs/>
          <w:iCs/>
          <w:sz w:val="24"/>
          <w:szCs w:val="24"/>
        </w:rPr>
      </w:pPr>
    </w:p>
    <w:p w:rsidR="007F452D" w:rsidRDefault="006007DF">
      <w:pPr>
        <w:spacing w:after="0" w:line="240" w:lineRule="auto"/>
        <w:contextualSpacing/>
        <w:jc w:val="both"/>
        <w:rPr>
          <w:rFonts w:ascii="Arial" w:eastAsia="Times New Roman" w:hAnsi="Arial" w:cs="Arial"/>
          <w:iCs/>
          <w:sz w:val="24"/>
          <w:szCs w:val="24"/>
        </w:rPr>
      </w:pPr>
      <w:r>
        <w:rPr>
          <w:rFonts w:ascii="Arial" w:eastAsia="Times New Roman" w:hAnsi="Arial" w:cs="Arial"/>
          <w:iCs/>
          <w:sz w:val="24"/>
          <w:szCs w:val="24"/>
        </w:rPr>
        <w:t>Wir werden die Strukturschwächen in ländlichen Räumen, in Regionen, Städten und Kommunen in allen Bundesländern wirkungsvoll bekämpfen und die Kommunen bei</w:t>
      </w:r>
      <w:r w:rsidR="009863D9">
        <w:rPr>
          <w:rFonts w:ascii="Arial" w:eastAsia="Times New Roman" w:hAnsi="Arial" w:cs="Arial"/>
          <w:iCs/>
          <w:sz w:val="24"/>
          <w:szCs w:val="24"/>
        </w:rPr>
        <w:t xml:space="preserve"> den Herausforderungen des</w:t>
      </w:r>
      <w:r>
        <w:rPr>
          <w:rFonts w:ascii="Arial" w:eastAsia="Times New Roman" w:hAnsi="Arial" w:cs="Arial"/>
          <w:iCs/>
          <w:sz w:val="24"/>
          <w:szCs w:val="24"/>
        </w:rPr>
        <w:t xml:space="preserve"> demografischen Wandel</w:t>
      </w:r>
      <w:r w:rsidR="009863D9">
        <w:rPr>
          <w:rFonts w:ascii="Arial" w:eastAsia="Times New Roman" w:hAnsi="Arial" w:cs="Arial"/>
          <w:iCs/>
          <w:sz w:val="24"/>
          <w:szCs w:val="24"/>
        </w:rPr>
        <w:t>s</w:t>
      </w:r>
      <w:r>
        <w:rPr>
          <w:rFonts w:ascii="Arial" w:eastAsia="Times New Roman" w:hAnsi="Arial" w:cs="Arial"/>
          <w:iCs/>
          <w:sz w:val="24"/>
          <w:szCs w:val="24"/>
        </w:rPr>
        <w:t xml:space="preserve"> unterstützen, um gleichwertige Lebensverhältnisse zu schaffen. Wir wollen, dass die Menschen in allen Regionen einen guten Zugang zu Leistungen der Daseinsvorsorge einschließlich der Bildung haben. Sie sollen am Aufbau neuer, moderner Infrastrukturen teilhaben. Wir wollen, dass der Strukturwandel in den Regionen mit hoher Arbeitslosigkeit gelingt und die wirtschaftlichen Unterschiede weiter abgebaut werden. Wir richten deshalb unsere Maßnahmen zweck- und bedarfsgerecht auf ländliche und städtische Räume aus und berücksichtigen dabei die gegenseitigen Wechselbeziehungen. Im Mittelpunkt stehen Maßnahmen der Daseinsvorsorge sowie eine flächendeckende Gesundheits- und Pflegeversorgung, Infrastruktur, Mobilitätsangebote und -konzepte, Bildung und Kultur, Hochschule und Forschung, Breitband- und Mobilfunkausbau, Digitalisierung, Unternehmens- und Behördenansiedlungen, die Stärkung der regionalen Wirtschafts- und Innovationskraft und Fachkräftesicherung. Dem dienen auch eine Dezentralisierungsstrategie sowie eine Flexibilisierung im Bau-, Planungs- und Raumordnungsrecht.</w:t>
      </w:r>
    </w:p>
    <w:p w:rsidR="007F452D" w:rsidRDefault="007F452D">
      <w:pPr>
        <w:spacing w:after="0" w:line="240" w:lineRule="auto"/>
        <w:contextualSpacing/>
        <w:jc w:val="both"/>
        <w:rPr>
          <w:rFonts w:ascii="Arial" w:eastAsia="Times New Roman" w:hAnsi="Arial" w:cs="Arial"/>
          <w:iCs/>
          <w:sz w:val="24"/>
          <w:szCs w:val="24"/>
        </w:rPr>
      </w:pPr>
    </w:p>
    <w:p w:rsidR="007F452D" w:rsidRDefault="006007DF">
      <w:pPr>
        <w:spacing w:after="0" w:line="240" w:lineRule="auto"/>
        <w:contextualSpacing/>
        <w:jc w:val="both"/>
        <w:rPr>
          <w:rFonts w:ascii="Arial" w:eastAsia="Times New Roman" w:hAnsi="Arial" w:cs="Arial"/>
          <w:iCs/>
          <w:sz w:val="24"/>
          <w:szCs w:val="24"/>
        </w:rPr>
      </w:pPr>
      <w:r>
        <w:rPr>
          <w:rFonts w:ascii="Arial" w:eastAsia="Times New Roman" w:hAnsi="Arial" w:cs="Arial"/>
          <w:iCs/>
          <w:sz w:val="24"/>
          <w:szCs w:val="24"/>
        </w:rPr>
        <w:t>Wir werden angespannte Situationen in Städten entlasten und den Auswirkungen des demografischen Wandels in ländlichen Regionen und strukturschwachen Städten entgegenwirken. Hierzu gehört auch die Bekämpfung der Ursachen und Folgen europäischer Armutszuwanderung.</w:t>
      </w:r>
    </w:p>
    <w:p w:rsidR="007F452D" w:rsidRDefault="007F452D">
      <w:pPr>
        <w:spacing w:after="0" w:line="240" w:lineRule="auto"/>
        <w:contextualSpacing/>
        <w:jc w:val="both"/>
        <w:rPr>
          <w:rFonts w:ascii="Arial" w:eastAsia="Times New Roman" w:hAnsi="Arial" w:cs="Arial"/>
          <w:iCs/>
          <w:sz w:val="24"/>
          <w:szCs w:val="24"/>
        </w:rPr>
      </w:pPr>
    </w:p>
    <w:p w:rsidR="007F452D" w:rsidRDefault="006007DF">
      <w:pPr>
        <w:spacing w:after="0" w:line="240" w:lineRule="auto"/>
        <w:contextualSpacing/>
        <w:jc w:val="both"/>
        <w:rPr>
          <w:rFonts w:ascii="Arial" w:eastAsia="Times New Roman" w:hAnsi="Arial" w:cs="Arial"/>
          <w:iCs/>
          <w:sz w:val="24"/>
          <w:szCs w:val="24"/>
        </w:rPr>
      </w:pPr>
      <w:r>
        <w:rPr>
          <w:rFonts w:ascii="Arial" w:eastAsia="Times New Roman" w:hAnsi="Arial" w:cs="Arial"/>
          <w:iCs/>
          <w:sz w:val="24"/>
          <w:szCs w:val="24"/>
        </w:rPr>
        <w:t>Die Bundesregierung wird zusammen mit den Ländern und den kommunalen Spitzenverbänden eine Kommission „Gleichwertige Lebensverhältnisse“ einsetzen, die bis Mitte 2019 konkrete Vorschläge erarbeitet. Hierbei geht es um alle Aspekte der Daseinsvorsorge genauso wie gezielte Strukturverstärkungen in Ländern und Kom</w:t>
      </w:r>
      <w:r>
        <w:rPr>
          <w:rFonts w:ascii="Arial" w:eastAsia="Times New Roman" w:hAnsi="Arial" w:cs="Arial"/>
          <w:iCs/>
          <w:sz w:val="24"/>
          <w:szCs w:val="24"/>
        </w:rPr>
        <w:lastRenderedPageBreak/>
        <w:t>munen. Maßnahmen im Sinne der Hilfe zur Selbsthilfe für Kommunen zum Beispiel mit Altschulden und hohen Kassenkrediten ebenso wie die Altschuldenproblematik kommunaler Wohnungsbauunternehmen werden in die Prüfung einbezogen.</w:t>
      </w:r>
    </w:p>
    <w:p w:rsidR="007F452D" w:rsidRDefault="007F452D">
      <w:pPr>
        <w:spacing w:after="0" w:line="240" w:lineRule="auto"/>
        <w:contextualSpacing/>
        <w:jc w:val="both"/>
        <w:rPr>
          <w:rFonts w:ascii="Arial" w:eastAsia="Times New Roman" w:hAnsi="Arial" w:cs="Arial"/>
          <w:iCs/>
          <w:sz w:val="24"/>
          <w:szCs w:val="24"/>
        </w:rPr>
      </w:pPr>
    </w:p>
    <w:p w:rsidR="007F452D" w:rsidRDefault="006007DF">
      <w:pPr>
        <w:pStyle w:val="berschrift3"/>
        <w:contextualSpacing/>
        <w:rPr>
          <w:rFonts w:cs="Arial"/>
          <w:szCs w:val="24"/>
        </w:rPr>
      </w:pPr>
      <w:r>
        <w:rPr>
          <w:rFonts w:cs="Arial"/>
          <w:szCs w:val="24"/>
        </w:rPr>
        <w:t>Stabile Finanzen für unsere Kommunen</w:t>
      </w:r>
    </w:p>
    <w:p w:rsidR="007F452D" w:rsidRDefault="006007DF">
      <w:pPr>
        <w:spacing w:after="0" w:line="240" w:lineRule="auto"/>
        <w:contextualSpacing/>
        <w:jc w:val="both"/>
        <w:rPr>
          <w:rFonts w:ascii="Arial" w:eastAsia="Times New Roman" w:hAnsi="Arial" w:cs="Arial"/>
          <w:bCs/>
          <w:iCs/>
          <w:sz w:val="24"/>
          <w:szCs w:val="24"/>
        </w:rPr>
      </w:pPr>
      <w:r>
        <w:rPr>
          <w:rFonts w:ascii="Arial" w:eastAsia="Times New Roman" w:hAnsi="Arial" w:cs="Arial"/>
          <w:bCs/>
          <w:iCs/>
          <w:sz w:val="24"/>
          <w:szCs w:val="24"/>
        </w:rPr>
        <w:t xml:space="preserve">Die grundgesetzlich garantierte Selbstverwaltung sichert den Kommunen die Handlungsfreiheit. Staatliche Leistungen müssen deshalb auch auf der kommunalen Ebene auskömmlich finanziert sein. Es gilt der Grundsatz: Wer eine Leistung veranlasst, muss für ihre Finanzierung aufkommen („Wer bestellt, bezahlt“). Das ist Grundsatz allen politischen Handelns der Koalitionspartner. </w:t>
      </w:r>
    </w:p>
    <w:p w:rsidR="007F452D" w:rsidRDefault="007F452D">
      <w:pPr>
        <w:spacing w:after="0" w:line="240" w:lineRule="auto"/>
        <w:contextualSpacing/>
        <w:jc w:val="both"/>
        <w:rPr>
          <w:rFonts w:ascii="Arial" w:eastAsia="Times New Roman" w:hAnsi="Arial" w:cs="Arial"/>
          <w:bCs/>
          <w:iCs/>
          <w:sz w:val="24"/>
          <w:szCs w:val="24"/>
        </w:rPr>
      </w:pPr>
    </w:p>
    <w:p w:rsidR="007F452D" w:rsidRDefault="006007DF">
      <w:pPr>
        <w:spacing w:after="0" w:line="240" w:lineRule="auto"/>
        <w:contextualSpacing/>
        <w:jc w:val="both"/>
        <w:rPr>
          <w:rFonts w:ascii="Arial" w:eastAsia="Times New Roman" w:hAnsi="Arial" w:cs="Arial"/>
          <w:iCs/>
          <w:sz w:val="24"/>
          <w:szCs w:val="24"/>
        </w:rPr>
      </w:pPr>
      <w:r>
        <w:rPr>
          <w:rFonts w:ascii="Arial" w:eastAsia="Times New Roman" w:hAnsi="Arial" w:cs="Arial"/>
          <w:iCs/>
          <w:sz w:val="24"/>
          <w:szCs w:val="24"/>
        </w:rPr>
        <w:t>Wir werden alle bisher kommunal entlastend wirksamen Finanzprogramme fortführen, sicherstellen und zweck- und bedarfsgerecht anpassen. Dazu gehören u. a. die Städtebauförderung sowie die bisherigen Programme im Zusammenhang mit Flucht, Zuwanderung und Integration.</w:t>
      </w:r>
    </w:p>
    <w:p w:rsidR="007F452D" w:rsidRDefault="007F452D">
      <w:pPr>
        <w:spacing w:after="0" w:line="240" w:lineRule="auto"/>
        <w:contextualSpacing/>
        <w:jc w:val="both"/>
        <w:rPr>
          <w:rFonts w:ascii="Arial" w:hAnsi="Arial" w:cs="Arial"/>
          <w:sz w:val="24"/>
          <w:szCs w:val="24"/>
        </w:rPr>
      </w:pPr>
    </w:p>
    <w:p w:rsidR="007F452D" w:rsidRDefault="006007DF" w:rsidP="0029759C">
      <w:pPr>
        <w:spacing w:line="240" w:lineRule="auto"/>
        <w:jc w:val="both"/>
        <w:rPr>
          <w:rFonts w:ascii="Arial" w:eastAsia="Times New Roman" w:hAnsi="Arial" w:cs="Arial"/>
          <w:iCs/>
          <w:sz w:val="24"/>
          <w:szCs w:val="24"/>
        </w:rPr>
      </w:pPr>
      <w:r>
        <w:rPr>
          <w:rFonts w:ascii="Arial" w:eastAsia="Times New Roman" w:hAnsi="Arial" w:cs="Arial"/>
          <w:iCs/>
          <w:sz w:val="24"/>
          <w:szCs w:val="24"/>
        </w:rPr>
        <w:t>Die kommunalen Steuerquellen werden wir sichern. Die Grundsteuer ist eine unverzichtbare Einnahmequelle der Kommunen. Diese wird unter Beachtung der Vorgaben des Bundesverfassungsgerichts, der Sicherung des derzeitigen Aufkommens sowie unter Beibehaltung des kommunalen Hebesatzrechtes neu geregelt.</w:t>
      </w:r>
    </w:p>
    <w:p w:rsidR="007F452D" w:rsidRDefault="006007DF" w:rsidP="0029759C">
      <w:pPr>
        <w:spacing w:line="240" w:lineRule="auto"/>
        <w:jc w:val="both"/>
        <w:rPr>
          <w:rFonts w:ascii="Arial" w:eastAsia="Times New Roman" w:hAnsi="Arial" w:cs="Arial"/>
          <w:iCs/>
          <w:sz w:val="24"/>
          <w:szCs w:val="24"/>
        </w:rPr>
      </w:pPr>
      <w:r>
        <w:rPr>
          <w:rFonts w:ascii="Arial" w:eastAsia="Times New Roman" w:hAnsi="Arial" w:cs="Arial"/>
          <w:iCs/>
          <w:sz w:val="24"/>
          <w:szCs w:val="24"/>
        </w:rPr>
        <w:t>Durch Schaffung einer Grundsteuer C schaffen wir für die Gemeinden die Möglichkeit, die Verfügbarmachung von bebaubaren Grundstücken für Wohnbauzwecke zu verbessern.</w:t>
      </w:r>
    </w:p>
    <w:p w:rsidR="007F452D" w:rsidRDefault="006007DF">
      <w:pPr>
        <w:pStyle w:val="berschrift3"/>
        <w:contextualSpacing/>
        <w:rPr>
          <w:rFonts w:eastAsia="Times New Roman" w:cs="Arial"/>
          <w:b w:val="0"/>
          <w:szCs w:val="24"/>
        </w:rPr>
      </w:pPr>
      <w:r>
        <w:rPr>
          <w:rFonts w:cs="Arial"/>
          <w:szCs w:val="24"/>
        </w:rPr>
        <w:t>Förderprogramme mit neuen Akzenten fortsetzen</w:t>
      </w:r>
    </w:p>
    <w:p w:rsidR="007F452D" w:rsidRDefault="006007D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Wir werden die Städtebauförderung fortsetzen und mit Blick auf die Förderung von strukturschwachen Regionen, einer Stärkung von interkommunalen Kooperationen und Stadt-/Umlandpartnerschaften weiterentwickeln. Ein Schwerpunkt liegt dabei – unter Berücksichtigung der ländlichen Regionen – auf der Belebung von Orts- und Stadtkernen. </w:t>
      </w:r>
    </w:p>
    <w:p w:rsidR="007F452D" w:rsidRDefault="007F452D">
      <w:pPr>
        <w:spacing w:after="0" w:line="240" w:lineRule="auto"/>
        <w:contextualSpacing/>
        <w:jc w:val="both"/>
        <w:rPr>
          <w:rFonts w:ascii="Arial" w:eastAsia="Times New Roman" w:hAnsi="Arial" w:cs="Arial"/>
          <w:sz w:val="24"/>
          <w:szCs w:val="24"/>
        </w:rPr>
      </w:pPr>
    </w:p>
    <w:p w:rsidR="007F452D" w:rsidRDefault="006007DF">
      <w:pPr>
        <w:spacing w:after="0" w:line="240" w:lineRule="auto"/>
        <w:contextualSpacing/>
        <w:jc w:val="both"/>
        <w:rPr>
          <w:rFonts w:ascii="Arial" w:eastAsia="Times New Roman" w:hAnsi="Arial" w:cs="Arial"/>
          <w:bCs/>
          <w:iCs/>
          <w:sz w:val="24"/>
          <w:szCs w:val="24"/>
        </w:rPr>
      </w:pPr>
      <w:r>
        <w:rPr>
          <w:rFonts w:ascii="Arial" w:eastAsia="Times New Roman" w:hAnsi="Arial" w:cs="Arial"/>
          <w:bCs/>
          <w:iCs/>
          <w:sz w:val="24"/>
          <w:szCs w:val="24"/>
        </w:rPr>
        <w:t>Erfolgreiche Modellvorhaben zur ländlichen Entwicklung werden wir zügig in die Regelförderung überführen und diese auch für die Unterstützung der Akteure vor Ort öffnen. Die Übernahme dieses Verfahrens für städtische Räume werden wir prüfen.</w:t>
      </w:r>
    </w:p>
    <w:p w:rsidR="007F452D" w:rsidRDefault="007F452D">
      <w:pPr>
        <w:spacing w:after="0" w:line="240" w:lineRule="auto"/>
        <w:contextualSpacing/>
        <w:jc w:val="both"/>
        <w:rPr>
          <w:rFonts w:ascii="Arial" w:eastAsia="Times New Roman" w:hAnsi="Arial" w:cs="Arial"/>
          <w:bCs/>
          <w:iCs/>
          <w:sz w:val="24"/>
          <w:szCs w:val="24"/>
        </w:rPr>
      </w:pPr>
    </w:p>
    <w:p w:rsidR="007F452D" w:rsidRDefault="006007DF">
      <w:pPr>
        <w:spacing w:after="0" w:line="240" w:lineRule="auto"/>
        <w:contextualSpacing/>
        <w:jc w:val="both"/>
        <w:rPr>
          <w:rFonts w:ascii="Arial" w:eastAsia="Times New Roman" w:hAnsi="Arial" w:cs="Arial"/>
          <w:bCs/>
          <w:iCs/>
          <w:sz w:val="24"/>
          <w:szCs w:val="24"/>
        </w:rPr>
      </w:pPr>
      <w:r>
        <w:rPr>
          <w:rFonts w:ascii="Arial" w:eastAsia="Times New Roman" w:hAnsi="Arial" w:cs="Arial"/>
          <w:bCs/>
          <w:iCs/>
          <w:sz w:val="24"/>
          <w:szCs w:val="24"/>
        </w:rPr>
        <w:t xml:space="preserve">Die im Programm Soziale Stadt begonnene ressortübergreifende Zusammenarbeit werden wir mit einer besseren Abstimmung von Förderprogrammen und </w:t>
      </w:r>
      <w:r w:rsidR="0029759C">
        <w:rPr>
          <w:rFonts w:ascii="Arial" w:eastAsia="Times New Roman" w:hAnsi="Arial" w:cs="Arial"/>
          <w:bCs/>
          <w:iCs/>
          <w:sz w:val="24"/>
          <w:szCs w:val="24"/>
        </w:rPr>
        <w:br/>
      </w:r>
      <w:r>
        <w:rPr>
          <w:rFonts w:ascii="Arial" w:eastAsia="Times New Roman" w:hAnsi="Arial" w:cs="Arial"/>
          <w:bCs/>
          <w:iCs/>
          <w:sz w:val="24"/>
          <w:szCs w:val="24"/>
        </w:rPr>
        <w:t>-instrumenten fortsetzen.</w:t>
      </w:r>
    </w:p>
    <w:p w:rsidR="007F452D" w:rsidRDefault="007F452D">
      <w:pPr>
        <w:spacing w:after="0" w:line="240" w:lineRule="auto"/>
        <w:contextualSpacing/>
        <w:jc w:val="both"/>
        <w:rPr>
          <w:rFonts w:ascii="Arial" w:eastAsia="Times New Roman" w:hAnsi="Arial" w:cs="Arial"/>
          <w:iCs/>
          <w:sz w:val="24"/>
          <w:szCs w:val="24"/>
        </w:rPr>
      </w:pPr>
    </w:p>
    <w:p w:rsidR="007F452D" w:rsidRDefault="006007DF">
      <w:pPr>
        <w:pStyle w:val="berschrift3"/>
        <w:contextualSpacing/>
        <w:rPr>
          <w:rFonts w:cs="Arial"/>
          <w:szCs w:val="24"/>
        </w:rPr>
      </w:pPr>
      <w:r>
        <w:rPr>
          <w:rFonts w:cs="Arial"/>
          <w:szCs w:val="24"/>
        </w:rPr>
        <w:t>Kommunale Daseinsvorsorge sichern</w:t>
      </w:r>
    </w:p>
    <w:p w:rsidR="007F452D" w:rsidRDefault="006007DF">
      <w:pPr>
        <w:spacing w:after="0" w:line="240" w:lineRule="auto"/>
        <w:contextualSpacing/>
        <w:jc w:val="both"/>
        <w:rPr>
          <w:rFonts w:ascii="Arial" w:eastAsia="Times New Roman" w:hAnsi="Arial" w:cs="Arial"/>
          <w:iCs/>
          <w:sz w:val="24"/>
          <w:szCs w:val="24"/>
        </w:rPr>
      </w:pPr>
      <w:r>
        <w:rPr>
          <w:rFonts w:ascii="Arial" w:eastAsia="Times New Roman" w:hAnsi="Arial" w:cs="Arial"/>
          <w:iCs/>
          <w:sz w:val="24"/>
          <w:szCs w:val="24"/>
        </w:rPr>
        <w:t xml:space="preserve">Wir sind uns der Bedeutung des steuerlichen Querverbundes für die Finanzierung kommunaler Daseinsvorsorge bewusst. Wir werden uns deshalb weiterhin, </w:t>
      </w:r>
      <w:r>
        <w:rPr>
          <w:rFonts w:ascii="Arial" w:hAnsi="Arial" w:cs="Arial"/>
          <w:sz w:val="24"/>
          <w:szCs w:val="24"/>
        </w:rPr>
        <w:t>gegebenenfalls</w:t>
      </w:r>
      <w:r>
        <w:rPr>
          <w:rFonts w:ascii="Arial" w:eastAsia="Times New Roman" w:hAnsi="Arial" w:cs="Arial"/>
          <w:iCs/>
          <w:sz w:val="24"/>
          <w:szCs w:val="24"/>
        </w:rPr>
        <w:t xml:space="preserve"> auch durch Anpassung der relevanten Gesetze, für dessen dauerhaften Erhalt einsetzen.</w:t>
      </w:r>
    </w:p>
    <w:p w:rsidR="007F452D" w:rsidRDefault="007F452D">
      <w:pPr>
        <w:spacing w:after="0" w:line="240" w:lineRule="auto"/>
        <w:contextualSpacing/>
        <w:jc w:val="both"/>
        <w:rPr>
          <w:rFonts w:ascii="Arial" w:eastAsia="Times New Roman" w:hAnsi="Arial" w:cs="Arial"/>
          <w:iCs/>
          <w:sz w:val="24"/>
          <w:szCs w:val="24"/>
        </w:rPr>
      </w:pPr>
    </w:p>
    <w:p w:rsidR="007F452D" w:rsidRDefault="006007DF">
      <w:pPr>
        <w:spacing w:after="0" w:line="240" w:lineRule="auto"/>
        <w:contextualSpacing/>
        <w:jc w:val="both"/>
        <w:rPr>
          <w:rFonts w:ascii="Arial" w:eastAsia="Times New Roman" w:hAnsi="Arial" w:cs="Arial"/>
          <w:iCs/>
          <w:sz w:val="24"/>
          <w:szCs w:val="24"/>
        </w:rPr>
      </w:pPr>
      <w:r>
        <w:rPr>
          <w:rFonts w:ascii="Arial" w:eastAsia="Times New Roman" w:hAnsi="Arial" w:cs="Arial"/>
          <w:iCs/>
          <w:sz w:val="24"/>
          <w:szCs w:val="24"/>
        </w:rPr>
        <w:t>Der Bund setzt sich weiterhin für die Absicherung und Stärkung der kommunalen Daseinsvorsorge sowie für Chancengleichheit gegenüber privaten Unternehmen in den Märkten zur Infrastrukturbereitstellung im Europäischen Binnenmarkt und bei Freihandelsabkommen ein.</w:t>
      </w:r>
    </w:p>
    <w:p w:rsidR="007F452D" w:rsidRDefault="006007DF">
      <w:pPr>
        <w:rPr>
          <w:rFonts w:ascii="Arial" w:hAnsi="Arial" w:cs="Arial"/>
          <w:b/>
          <w:sz w:val="24"/>
          <w:szCs w:val="24"/>
        </w:rPr>
      </w:pPr>
      <w:r>
        <w:rPr>
          <w:rFonts w:cs="Arial"/>
          <w:szCs w:val="24"/>
        </w:rPr>
        <w:br w:type="page"/>
      </w:r>
    </w:p>
    <w:p w:rsidR="007F452D" w:rsidRDefault="006007DF">
      <w:pPr>
        <w:pStyle w:val="berschrift3"/>
        <w:contextualSpacing/>
        <w:rPr>
          <w:rFonts w:cs="Arial"/>
          <w:szCs w:val="24"/>
        </w:rPr>
      </w:pPr>
      <w:r>
        <w:rPr>
          <w:rFonts w:cs="Arial"/>
          <w:szCs w:val="24"/>
        </w:rPr>
        <w:lastRenderedPageBreak/>
        <w:t xml:space="preserve">Stärkung der Zivilgesellschaft und des Ehrenamts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Ein starkes Ehrenamt und ausgeprägtes bürgerschaftliches Engagement sind Markenzeichen unseres Landes. Millionen von Menschen sind freiwillig für das Gemeinwohl aktiv – vom individuellen Engagement bis zum Ehrenamt, z. B. in Sportvereinen, Kirchen, Stiftungen, Vereinen, Migrantenorganisationen und der Wohlfahrtspflege. In ländlichen Regionen ist das Ehrenamt eine tragende Säule eines lebendigen und funktionierenden Gemeinwesens. Dieses ehrenamtliche und bürgerschaftliche Engagement für alle Generationen verdient Anerkennung und Wertschätzung. Wir werden es herausgehoben in der Bundesregierung verankern und durch konkrete Maßnahmen unterstützen und stärken.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diese Kultur des zivilgesellschaftlichen Engagements und des Ehrenamts zu fördern und zu stärken, wollen wir:</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bestehende Regelungen entbürokratisieren, die digitalen Kompetenzen stärken und konkrete Hilfestellungen für eine entsprechende Organisationsentwicklung der Verbände, Vereine und Stiftungen leisten. Eine Ehrenamtsstiftung oder eine Service-Agentur kann dabei helfen</w:t>
      </w:r>
      <w:r w:rsidR="0029759C">
        <w:rPr>
          <w:rFonts w:ascii="Arial" w:hAnsi="Arial" w:cs="Arial"/>
          <w:sz w:val="24"/>
          <w:szCs w:val="24"/>
        </w:rPr>
        <w:t>,</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den rechtlichen Rahmen für ehrenamtliche Betätigung und soziales Unternehmertum weiter verbessern sowie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das Gemeinnützigkeitsrecht verbessern. Insbesondere streben wir im Hinblick auf die Rechtsprechung des Bundesgerichtshofs zur Eintragungsfähigkeit von Vereinen mit wirtschaftlichem Geschäftsbetrieb im Interesse von bürgerschaftlichen Initiativen Verbesserungen im Vereinsrecht an. Zudem werden wir das Stiftungsrecht auf Grundlage der Vorschläge der Bund-Länder-Arbeitsgruppe „Stiftungsrecht“ ändern</w:t>
      </w:r>
      <w:r w:rsidR="0029759C">
        <w:rPr>
          <w:rFonts w:ascii="Arial" w:hAnsi="Arial" w:cs="Arial"/>
          <w:sz w:val="24"/>
          <w:szCs w:val="24"/>
        </w:rPr>
        <w:t>,</w:t>
      </w:r>
      <w:r>
        <w:rPr>
          <w:rFonts w:ascii="Arial" w:hAnsi="Arial" w:cs="Arial"/>
          <w:sz w:val="24"/>
          <w:szCs w:val="24"/>
        </w:rPr>
        <w:t xml:space="preserve">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Bundesfreiwilligendienst und Jugendfreiwilligendienste in ihrer Bandbreite ausbauen und stärken, ehrenamtliche und gemeinnützige Organisationen mit innovativen und sozialen Ideen und nachweislichem gesellschaftlichen, ökologischem oder wirtschaftlichem Nutzen in ihrer Start- und Wachstumsphase unterstützen. Den Zugang für Menschen mit Behinderungen und für Benachteiligte wollen wir in den Jugendfreiwilligendiensten und dem Bundesfreiwilligendienst ausweiten</w:t>
      </w:r>
      <w:r w:rsidR="0029759C">
        <w:rPr>
          <w:rFonts w:ascii="Arial" w:hAnsi="Arial" w:cs="Arial"/>
          <w:sz w:val="24"/>
          <w:szCs w:val="24"/>
        </w:rPr>
        <w:t>,</w:t>
      </w:r>
      <w:r>
        <w:rPr>
          <w:rFonts w:ascii="Arial" w:hAnsi="Arial" w:cs="Arial"/>
          <w:sz w:val="24"/>
          <w:szCs w:val="24"/>
        </w:rPr>
        <w:t xml:space="preserve">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initiieren, dass in Kooperation mit den Bundesländern, Wohlfahrtsverbänden und Kommunen insbesondere Grundschulkinder in Ganztagsbetreuung gezielt an ehrenamtliche Tätigkeit herangeführt werden</w:t>
      </w:r>
      <w:r w:rsidR="0029759C">
        <w:rPr>
          <w:rFonts w:ascii="Arial" w:hAnsi="Arial" w:cs="Arial"/>
          <w:sz w:val="24"/>
          <w:szCs w:val="24"/>
        </w:rPr>
        <w:t>,</w:t>
      </w:r>
      <w:r>
        <w:rPr>
          <w:rFonts w:ascii="Arial" w:hAnsi="Arial" w:cs="Arial"/>
          <w:sz w:val="24"/>
          <w:szCs w:val="24"/>
        </w:rPr>
        <w:t xml:space="preserve">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zur besseren Förderung von bürgerschaftlichem und ehrenamtlichem Engagement Ehrenamtliche steuerlich entlasten sowie Hauptamtliche zu ihrer Entlastung vermehrt einsetzen. </w:t>
      </w:r>
    </w:p>
    <w:p w:rsidR="007F452D" w:rsidRDefault="007F452D">
      <w:pPr>
        <w:pStyle w:val="Listenabsatz"/>
        <w:spacing w:after="0" w:line="240" w:lineRule="auto"/>
        <w:jc w:val="both"/>
        <w:rPr>
          <w:rFonts w:ascii="Arial" w:hAnsi="Arial" w:cs="Arial"/>
          <w:sz w:val="24"/>
          <w:szCs w:val="24"/>
        </w:rPr>
      </w:pPr>
    </w:p>
    <w:p w:rsidR="007F452D" w:rsidRDefault="006007DF">
      <w:pPr>
        <w:spacing w:after="0" w:line="240" w:lineRule="auto"/>
        <w:contextualSpacing/>
        <w:jc w:val="both"/>
        <w:rPr>
          <w:rFonts w:ascii="Arial" w:eastAsia="Calibri" w:hAnsi="Arial" w:cs="Arial"/>
          <w:sz w:val="24"/>
          <w:szCs w:val="24"/>
        </w:rPr>
      </w:pPr>
      <w:r>
        <w:rPr>
          <w:rFonts w:ascii="Arial" w:eastAsia="Calibri" w:hAnsi="Arial" w:cs="Arial"/>
          <w:sz w:val="24"/>
          <w:szCs w:val="24"/>
        </w:rPr>
        <w:t>Gesellschaft und Demokratie leben von Gemeinschaft. Familiäre Bindung und ein stabiles Netz mit vielfältigen sozialen Kontakten fördern das individuelle Wohlergehen und verhindern Einsamkeit. Angesichts einer zunehmend individualisierten, mobilen und digitalen Gesellschaft werden wir Strategien und Konzepte entwickeln, die Einsamkeit in allen Altersgruppen vorbeugen und Vereinsamung bekämpfen.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Kirchen, Religions- und Weltanschauungsgemeinschaften stiften Identität und vermitteln Werte. Sie leisten einen wichtigen Beitrag zum Zusammenhalt unserer Gesellschaft in Deutschland und Europa. Darüber hinaus sind sie wichtige Stützen im Bildungs- und Sozialwesen mit Kindertageseinrichtungen und Schulen, mit Krankenhäusern und Pflegeeinrichtungen.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wollen den Dialog und die Zusammenarbeit des Staates mit den Kirchen, Religions- und Weltanschauungsgemeinschaften verstärken. Dies gilt insbesondere auch mit Blick auf die Integration der Muslime in Deutschland.</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eine teilhabeorientierte Gesellschaftspolitik für alle Menschen – ob mit oder ohne Migrationshintergrund. Deshalb werden wir die Jugendmigrationsdienste sowie Zugangsmöglichkeiten und Beteiligungschancen bei zivilgesellschaftlichem Engagement auch für Migrantenorganisationen stärken.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 xml:space="preserve">Stärkung der Demokratie und Extremismusprävention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Stärkung der freiheitlichen Demokratie muss allen am Herzen liegen. Deshalb wollen wir Maßnahmen zur Stärkung der Demokratie und der Zivilgesellschaft umsetzen, um das zivilgesellschaftliche Engagement gegen jede Form von Extremismus weiter zu stärken. Dazu gehören:</w:t>
      </w:r>
    </w:p>
    <w:p w:rsidR="007F452D" w:rsidRDefault="007F452D">
      <w:pPr>
        <w:spacing w:after="0" w:line="240" w:lineRule="auto"/>
        <w:contextualSpacing/>
        <w:jc w:val="both"/>
        <w:rPr>
          <w:rFonts w:ascii="Arial" w:hAnsi="Arial" w:cs="Arial"/>
          <w:sz w:val="24"/>
          <w:szCs w:val="24"/>
        </w:rPr>
      </w:pP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Nachhaltige Absicherung von qualitativ guten Programmen zur Demokratieförderung und Extremismusprävention.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Ausbau unserer erfolgreichen Programme gegen Rechtsextremismus, gegen Linksextremismus, gegen Antisemitismus, gegen Islamismus und Salafismus.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Stärkung politischer und kultureller Bildung. Darüber hinaus unterstützen wir das „Forum Recht“ als dauerhafte Einrichtung des Bundes mit Hauptsitz in Karlsruhe. Ziel ist, den Bürgerinnen und Bürgern den Rechtsstaat im Sinne einer gewachsenen Rechtskultur als unverzichtbaren Teil unseres Zusammenlebens näherzubringen.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Im Jahr 2019 werden wir 100 Jahre Demokratie in Deutschland und 100 Jahre Frauenwahlrecht feiern sowie an 70 Jahre Grundgesetz und 30 Jahre Friedliche Revolution erinnern.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Unsere Geschichte mahnt uns, antidemokratischem, rassistischem und nationalistischem Gedankengut entschieden zu begegnen. Die Empfehlungen der NSU-Untersuchungsausschüsse bleiben für die präventive Arbeit gegen Rechtsextremismus handlungsleitend. Das Nationale Präventionsprogramm gegen islamistischen Extremismus wollen wir über das Jahr 2018 hinaus fortführen.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Ausbau der Koordinierung der Maßnahmen zur Extremismusprävention von Bund und Ländern und Weiterentwicklung auf Grundlage von externen Forschungs- und Evaluierungsergebnissen. </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Wir verurteilen Rassismus und Diskriminierung in jeder Form. Die Arbeit der Antidiskriminierungsstelle wird fortgesetzt. Entsprechende Aktionspläne werden wir fortführen und weiterentwickeln.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Wir werden eine/n Beauftragte/n der Bundesregierung für jüdisches Leben in Deutschland und den Kampf gegen Antisemitismus einsetzen. Ferner wollen wir eine Expertenkommission zum Thema Antiziganismus einsetzen.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Wir wollen die Erinnerungskultur und die Rehabilitierung der Opfer des SED-Unrechtregimes weiterentwickeln und die Fristen für die Beantragung nach den Rehabilitierungsgesetzen im Einvernehmen mit den Bundesländern aufheben. Wir werden prüfen, inwieweit die bestehenden rechtlichen Grundlagen für die DDR-Heimkinder verbessert werden können.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Mit einer Kampagne für den Rechtsstaat wollen wir dessen Bedeutung für jede Einzelne und jeden Einzelnen stärker in das Bewusstsein rücken.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Die „Deutsche Stiftung für internationale rechtliche Zusammenarbeit e. V.“ leistet einen unverzichtbaren Beitrag für die Rechtsstaatsförderung im Ausland. Ihre Arbeit wollen wir weiter fördern.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lastRenderedPageBreak/>
        <w:t>Eine Kampagne initiieren, die private und öffentliche Arbeitgeber ermuntert, Mitarbeiterinnen und Mitarbeiter für die Wahrnehmung des Ehrenamtes zu unterstützen, und dabei bei den Bundesbediensteten mit gutem Beispiel voranzugehen.</w:t>
      </w:r>
    </w:p>
    <w:p w:rsidR="007F452D" w:rsidRDefault="006007DF">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Für eine bessere Vereinbarkeit von Erwerbs- und Familienarbeit sowie Ehrenamt speziell im Katastrophenschutz Hürden abbauen.</w:t>
      </w:r>
    </w:p>
    <w:p w:rsidR="007F452D" w:rsidRDefault="007F452D">
      <w:pPr>
        <w:pStyle w:val="Listenabsatz"/>
        <w:spacing w:after="0" w:line="240" w:lineRule="auto"/>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Der Gewalt gegen Polizeibeamtinnen und -beamte, Rettungskräfte und anderen Repräsentantinnen und Repräsentanten des Staates sowie gegen ehrenamtliche Engagierte muss auf allen Ebenen konsequent entgegengewirkt werden. </w:t>
      </w:r>
    </w:p>
    <w:p w:rsidR="007F452D" w:rsidRDefault="007F452D">
      <w:pPr>
        <w:spacing w:after="0" w:line="240" w:lineRule="auto"/>
        <w:contextualSpacing/>
        <w:rPr>
          <w:rStyle w:val="xxt"/>
          <w:rFonts w:ascii="Arial" w:hAnsi="Arial" w:cs="Arial"/>
          <w:b/>
          <w:sz w:val="24"/>
          <w:szCs w:val="24"/>
        </w:rPr>
      </w:pPr>
    </w:p>
    <w:p w:rsidR="007F452D" w:rsidRDefault="006007DF">
      <w:pPr>
        <w:pStyle w:val="berschrift2"/>
        <w:numPr>
          <w:ilvl w:val="1"/>
          <w:numId w:val="23"/>
        </w:numPr>
        <w:autoSpaceDE w:val="0"/>
        <w:autoSpaceDN w:val="0"/>
        <w:adjustRightInd w:val="0"/>
        <w:contextualSpacing/>
        <w:jc w:val="both"/>
        <w:rPr>
          <w:szCs w:val="24"/>
        </w:rPr>
      </w:pPr>
      <w:bookmarkStart w:id="54" w:name="_Toc505767178"/>
      <w:r>
        <w:rPr>
          <w:rStyle w:val="xxt"/>
          <w:szCs w:val="24"/>
        </w:rPr>
        <w:t>Lärmschutz und Bürgerbeteiligung</w:t>
      </w:r>
      <w:bookmarkEnd w:id="54"/>
      <w:r>
        <w:rPr>
          <w:rStyle w:val="xxt"/>
          <w:szCs w:val="24"/>
        </w:rPr>
        <w:t xml:space="preserve">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Lärm ist in unserem dichtbevölkerten Land ein großes Problem. Den durch Mobilität verursachten Lärm wollen wir deutlich reduzieren. Wir werden die Bürger frühzeitiger bei Verkehrsprojekten beteiligen und eine Gesamtlärmbetrachtung einführen. Wir werden ein verkehrsträgerübergreifendes Lärmkonzept erstellen.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die ausreichende Finanzausstattung des Lärmsanierungsprogramms an Bundesfernstraßen in der Baulast des Bundes sicherstellen.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bei deutlicher Verkehrszunahme auch an Bestandsstrecken der Schiene und an Fernstraßen in Baulastträgerschaft des Bundes flexibel erhöhte Lärmschutzmaßnahmen ergreifen.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Der Schienenlärm soll bis 2020 halbiert werden. Wir setzen uns für das Verbot lauter Güterwagen auch auf EU-Ebene ein. Das lärmabhängige Trassenpreissystem werden wir weiterentwickeln. Wir wollen die Forschung, Entwicklung und Markteinführung von innovativen Lärmvermeidungstechniken sowie von lärmarmen Güterwagen fördern. In Ergänzung zur Umrüstung von Waggons soll ein Innovationsbonus für die Neuanschaffung und den Umbau von Triebwagen und Lokomotiven gewährt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Bei der Gestaltung von Lärmschutzmaßnahmen im Schienenverkehr sollen insbesondere die jeweiligen Anforderungen an Sanierungsabschnitte mit besonderer Bedeutung für die Tourismus- oder Gesundheitswirtschaft berücksichtigt werden. Wir prüfen zudem, ob das freiwillige Lärmsanierungsprogramm und die Lärmaktionspla-nung nach der EU-Umgebungslärmrichtlinie stärker miteinander verschränkt werden können. Wir wollen die Förderung für freiwilligen Lärmschutz an der Schiene erhöhen. An Bahnstrecken werden weitere Messstationen für ein umfassendes Lärmmonitoring eingerichtet.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beim Ausbau des Schienennetzes die Bürger frühzeitig beteiligen und ein strukturiertes Verfahren entwickeln, mit dem das Ergebnis der Bürgerbeteiligung automatisch dem Deutschen Bundestag vorgelegt wird und der Gesetzgeber die Möglichkeit erhält, im Einzelfall für das weitere Planungsverfahren über begründete alternative Trassierungen und über das gesetzliche Maß hinausgehende Lärmschutzmaßnahmen entscheiden zu können.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Verschärfung der Lärmzulassungsgrenzwerte für neue Flugzeuge auf internationaler Ebene (ICAO) befürworten wir.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zusätzliche Mittel für die Forschung und Entwicklung neuer lärmarmer Technologien wie für emissionsarme Flugzeugtriebwerke bereitstellen. Für die Fest</w:t>
      </w:r>
      <w:r>
        <w:rPr>
          <w:rFonts w:ascii="Arial" w:hAnsi="Arial" w:cs="Arial"/>
          <w:sz w:val="24"/>
          <w:szCs w:val="24"/>
        </w:rPr>
        <w:lastRenderedPageBreak/>
        <w:t xml:space="preserve">legung der Flugrouten setzen wir auf eine verbesserte Transparenz in den Verfahren. Dabei ist entscheidend, frühzeitig die betroffenen Menschen zu informieren und in einen Dialogprozess mit allen Beteiligten einzubinden. Die Fluglärmkommissionen werden wir in ihrer Arbeit unterstützen. Die bestehenden Nachtflugverbote bleiben erhalten.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im Luftverkehr die zügige Umsetzung lärmarmer Flugverfahren vorantreiben und Anreize für den Einsatz leiserer Flugzeuge setzen. Bei allen Planungen an Flughafenstandorten müssen die Bürger frühzeitig einbezogen werden. Dabei ist auf die Nachtruhe für die Bevölkerung rund um den Flughafen in den Verfahren nach dem Luftverkehrsgesetz weiterhin in besonderem Maße Rücksicht zu nehmen.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Lärmgrenzwerte für den Schutz der Menschen rund um die Flughäfen werden wir nach den gesetzlichen Vorgaben des Fluglärmschutzgesetzes unter Berücksichtigung des Standes der Lärmwirkungsforschung und der Luftfahrttechnik überprüfen und weiterentwickeln.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23"/>
        </w:numPr>
        <w:contextualSpacing/>
        <w:rPr>
          <w:rStyle w:val="xxt"/>
          <w:szCs w:val="24"/>
        </w:rPr>
      </w:pPr>
      <w:bookmarkStart w:id="55" w:name="_Toc505767179"/>
      <w:r>
        <w:rPr>
          <w:rStyle w:val="xxt"/>
          <w:szCs w:val="24"/>
        </w:rPr>
        <w:t>Personenbeförderungsrecht, ÖPNV und Mobilität im ländlichen Raum</w:t>
      </w:r>
      <w:bookmarkEnd w:id="55"/>
      <w:r>
        <w:rPr>
          <w:rStyle w:val="xxt"/>
          <w:szCs w:val="24"/>
        </w:rPr>
        <w:t xml:space="preserve"> </w:t>
      </w: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die individuelle Mobilität der Menschen stärken, neue Angebotsformen zur Verbesserung des Mobilitätsangebots im ländlichen Raum unterstützen und diese mit Pilotprojekten erproben.</w:t>
      </w:r>
    </w:p>
    <w:p w:rsidR="007F452D" w:rsidRDefault="007F452D">
      <w:pPr>
        <w:suppressAutoHyphen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das Personenbeförderungsrecht modernisieren und die Rahmenbedingungen für den öffentlichen Verkehr und neue Bedienformen im Bereich geteilter Nutzungen (Ride Pooling) an die sich ändernden Mobilitätsbedürfnisse der Menschen und neue technischen Entwicklungen anpassen. Neue plattformbasierte digitale Mobilitätsangebote brauchen eine rechtssichere Grundlage für ihre Zulassung. Dabei achten wir darauf, dass ein fairer Ausgleich (level playing field) zwischen den unterschiedlichen Beförderungsformen gewahrt bleibt. Kommunen müssen entsprechende Steuerungsmöglichkeiten erhalten. Gute soziale Rahmenbedingungen zum Schutz der Beschäftigten sind für uns dabei zentrale Voraussetzung. Sowohl der Taxi- wie auch der Mietwagenbetrieb soll von regulatorischen Entlastungen profitieren.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Für einen attraktiven und in die Zukunft gerichteten ÖPNV wollen wir digitale Informations- und Vertriebssysteme fördern. Neue Mobilitätsangebote sowie moderne Bedienformen und der ÖPNV müssen sich bestmöglich ergänzen.</w:t>
      </w:r>
    </w:p>
    <w:p w:rsidR="007F452D" w:rsidRDefault="007F452D">
      <w:pPr>
        <w:spacing w:after="0" w:line="240" w:lineRule="auto"/>
        <w:contextualSpacing/>
        <w:jc w:val="both"/>
        <w:rPr>
          <w:rFonts w:ascii="Arial" w:hAnsi="Arial" w:cs="Arial"/>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Wir wollen den erfolgreichen Förderfonds mFUND für die frühe Entwicklung digitaler Innovationen im Bereich Mobilität fortschreiben und weiterentwickeln. Die mCLOUD zur offenen Bereitstellung öffentlicher Mobilitäts-, Geo- und Wetterdaten wollen wir ausbauen und bieten damit Start-ups und Mobilitätsanbietern eine zentrale Plattform.</w:t>
      </w:r>
    </w:p>
    <w:p w:rsidR="007F452D" w:rsidRDefault="007F452D">
      <w:pPr>
        <w:suppressAutoHyphen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An den Festlegungen im Personenbeförderungsgesetz für den Vorrang von eigenwirtschaftlichen Verkehren im Personennahverkehr halten wir fest.</w:t>
      </w:r>
    </w:p>
    <w:p w:rsidR="007F452D" w:rsidRDefault="007F452D">
      <w:pPr>
        <w:spacing w:after="0" w:line="240" w:lineRule="auto"/>
        <w:contextualSpacing/>
        <w:jc w:val="both"/>
        <w:rPr>
          <w:rFonts w:ascii="Arial" w:hAnsi="Arial" w:cs="Arial"/>
          <w:b/>
          <w:sz w:val="24"/>
          <w:szCs w:val="24"/>
        </w:rPr>
      </w:pPr>
    </w:p>
    <w:p w:rsidR="007F452D" w:rsidRDefault="006007DF">
      <w:pPr>
        <w:suppressAutoHyphens/>
        <w:spacing w:after="0" w:line="240" w:lineRule="auto"/>
        <w:contextualSpacing/>
        <w:jc w:val="both"/>
        <w:rPr>
          <w:rFonts w:ascii="Arial" w:hAnsi="Arial" w:cs="Arial"/>
          <w:sz w:val="24"/>
          <w:szCs w:val="24"/>
        </w:rPr>
      </w:pPr>
      <w:r>
        <w:rPr>
          <w:rFonts w:ascii="Arial" w:hAnsi="Arial" w:cs="Arial"/>
          <w:sz w:val="24"/>
          <w:szCs w:val="24"/>
        </w:rPr>
        <w:t xml:space="preserve">Im Personenbeförderungsgesetz werden wir klarstellen, dass über die Nahverkehrs-pläne soziale Standards zum Schutz der Beschäftigten sowie qualitative und ökolo-gische Standards auch für eigenwirtschaftliche Verkehre gelten. </w:t>
      </w:r>
    </w:p>
    <w:p w:rsidR="007F452D" w:rsidRDefault="007F452D">
      <w:pPr>
        <w:suppressAutoHyphens/>
        <w:spacing w:after="0" w:line="240" w:lineRule="auto"/>
        <w:contextualSpacing/>
        <w:jc w:val="both"/>
        <w:rPr>
          <w:rFonts w:ascii="Arial" w:hAnsi="Arial" w:cs="Arial"/>
          <w:sz w:val="24"/>
          <w:szCs w:val="24"/>
        </w:rPr>
      </w:pPr>
    </w:p>
    <w:p w:rsidR="007F452D" w:rsidRDefault="006007DF">
      <w:pPr>
        <w:keepNext/>
        <w:spacing w:after="0" w:line="240" w:lineRule="auto"/>
        <w:contextualSpacing/>
        <w:jc w:val="both"/>
        <w:rPr>
          <w:rFonts w:ascii="Arial" w:hAnsi="Arial" w:cs="Arial"/>
          <w:sz w:val="24"/>
          <w:szCs w:val="24"/>
        </w:rPr>
      </w:pPr>
      <w:r>
        <w:rPr>
          <w:rFonts w:ascii="Arial" w:hAnsi="Arial" w:cs="Arial"/>
          <w:sz w:val="24"/>
          <w:szCs w:val="24"/>
        </w:rPr>
        <w:t xml:space="preserve">Wir wollen die Mittel für den Radverkehr als Testlauf aufstocken. Wir wollen damit in den Radwegebau investieren und die gesetzliche Grundlage schaffen, damit die </w:t>
      </w:r>
      <w:r>
        <w:rPr>
          <w:rFonts w:ascii="Arial" w:hAnsi="Arial" w:cs="Arial"/>
          <w:sz w:val="24"/>
          <w:szCs w:val="24"/>
        </w:rPr>
        <w:lastRenderedPageBreak/>
        <w:t>Radwege unabhängig vom Verlauf der Bundesstraßen geführt werden können. Zudem wollen wir das Programm für den Bau von Radschnellwegen praxisnaher ausgestalten und weitere innovative Projekte fördern, die den Radverkehr in Deutschland verbessern.</w:t>
      </w:r>
    </w:p>
    <w:p w:rsidR="007F452D" w:rsidRDefault="007F452D">
      <w:pPr>
        <w:keepNext/>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Straßenverkehrsordnung mit dem Ziel der Radverkehrsförderung überprüfen und gegebenenfalls fahrradgerecht fortschreiben einschließlich einer Innovationsklausel für örtlich und zeitlich begrenzte Pilotprojekte. Wir wollen den Nationalen Radverkehrsplan 2020 fortschreiben. </w:t>
      </w:r>
    </w:p>
    <w:p w:rsidR="007F452D" w:rsidRDefault="007F452D">
      <w:pPr>
        <w:spacing w:after="0" w:line="240" w:lineRule="auto"/>
        <w:contextualSpacing/>
        <w:jc w:val="both"/>
        <w:rPr>
          <w:rFonts w:ascii="Arial" w:hAnsi="Arial" w:cs="Arial"/>
          <w:sz w:val="24"/>
          <w:szCs w:val="24"/>
        </w:rPr>
      </w:pPr>
    </w:p>
    <w:p w:rsidR="007F452D" w:rsidRDefault="006007DF" w:rsidP="00F709A3">
      <w:pPr>
        <w:spacing w:after="0" w:line="240" w:lineRule="auto"/>
        <w:contextualSpacing/>
        <w:jc w:val="both"/>
        <w:rPr>
          <w:rFonts w:ascii="Arial" w:eastAsiaTheme="majorEastAsia" w:hAnsi="Arial" w:cs="Arial"/>
          <w:b/>
          <w:bCs/>
          <w:sz w:val="24"/>
          <w:szCs w:val="24"/>
        </w:rPr>
      </w:pPr>
      <w:r>
        <w:rPr>
          <w:rFonts w:ascii="Arial" w:hAnsi="Arial" w:cs="Arial"/>
          <w:sz w:val="24"/>
          <w:szCs w:val="24"/>
        </w:rPr>
        <w:t>Unser Ziel ist eine selbstbestimmte sichere Mobilität von Seniorinnen und Senioren. Dies wollen wir mit der Förderung freiwilliger Angebote noch stärker unterstützen.</w:t>
      </w:r>
      <w:r>
        <w:rPr>
          <w:rFonts w:ascii="Arial" w:hAnsi="Arial" w:cs="Arial"/>
          <w:sz w:val="24"/>
          <w:szCs w:val="24"/>
        </w:rPr>
        <w:br w:type="page"/>
      </w:r>
    </w:p>
    <w:p w:rsidR="007F452D" w:rsidRDefault="006007DF">
      <w:pPr>
        <w:pStyle w:val="berschrift1"/>
        <w:numPr>
          <w:ilvl w:val="0"/>
          <w:numId w:val="14"/>
        </w:numPr>
        <w:ind w:left="426" w:hanging="142"/>
        <w:contextualSpacing/>
      </w:pPr>
      <w:bookmarkStart w:id="56" w:name="_Toc505767180"/>
      <w:r>
        <w:lastRenderedPageBreak/>
        <w:t>Ein handlungsfähiger und starker Staat für eine freie Gesellschaft</w:t>
      </w:r>
      <w:bookmarkEnd w:id="56"/>
      <w:r>
        <w:t xml:space="preserve"> </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5"/>
        </w:numPr>
        <w:contextualSpacing/>
        <w:rPr>
          <w:szCs w:val="24"/>
        </w:rPr>
      </w:pPr>
      <w:bookmarkStart w:id="57" w:name="_Toc505767181"/>
      <w:r>
        <w:rPr>
          <w:szCs w:val="24"/>
        </w:rPr>
        <w:t>Pakt für den Rechtsstaat</w:t>
      </w:r>
      <w:bookmarkEnd w:id="57"/>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den Rechtsstaat handlungsfähig erhalten. Dies stärkt auch das Vertrauen in die rechtsstaatliche Demokratie. Wir werden einen Pakt für den Rechtsstaat auf Ebene der Regierungschefinnen und -chefs von Bund und Ländern schließen.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Justiz</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Bestandteil dieses Paktes sind 2000 neue Richterstellen bei den Gerichten der Länder und des Bundes sowie entsprechendes Folgepersonal. Die Länder haben mit der Ausweitung des Justizpersonals bereits begonnen. Die Personalausstattung des Generalbundesanwalts wird verbessert. Wir werden die Digitalisierung der Justiz in allen Bereichen konsequent und einheitlich vorantreiben. Wir stärken die digitale und interkulturelle Kompetenz.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 historische Bewusstsein für das nationalsozialistische Unrecht schärfen, um aus den dunklen Kapiteln unserer Vergangenheit lernen zu können. Wir sind uns einig, dass die Auseinandersetzung mit dem nationalsozialistischen Justizunrecht auch Teil der Juristenausbildung ist.</w:t>
      </w:r>
    </w:p>
    <w:p w:rsidR="007F452D" w:rsidRDefault="007F452D">
      <w:pPr>
        <w:spacing w:after="0" w:line="240" w:lineRule="auto"/>
        <w:contextualSpacing/>
        <w:jc w:val="both"/>
        <w:rPr>
          <w:rFonts w:ascii="Arial" w:hAnsi="Arial" w:cs="Arial"/>
          <w:b/>
          <w:sz w:val="24"/>
          <w:szCs w:val="24"/>
        </w:rPr>
      </w:pPr>
    </w:p>
    <w:p w:rsidR="007F452D" w:rsidRDefault="006007DF">
      <w:pPr>
        <w:pStyle w:val="berschrift3"/>
        <w:contextualSpacing/>
        <w:rPr>
          <w:rFonts w:cs="Arial"/>
          <w:szCs w:val="24"/>
        </w:rPr>
      </w:pPr>
      <w:r>
        <w:rPr>
          <w:rFonts w:cs="Arial"/>
          <w:szCs w:val="24"/>
        </w:rPr>
        <w:t>Sicherheitsbehörden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Bund und Länder haben die personelle Ausstattung der Sicherheitsbehörden bereits vorangebracht. Am Ende dieser Ausbauphase werden insgesamt 15 000 Stellen geschaffen worden sein. Der Bund wird 7</w:t>
      </w:r>
      <w:r w:rsidR="0029759C">
        <w:rPr>
          <w:rFonts w:ascii="Arial" w:hAnsi="Arial" w:cs="Arial"/>
          <w:sz w:val="24"/>
          <w:szCs w:val="24"/>
        </w:rPr>
        <w:t> </w:t>
      </w:r>
      <w:r>
        <w:rPr>
          <w:rFonts w:ascii="Arial" w:hAnsi="Arial" w:cs="Arial"/>
          <w:sz w:val="24"/>
          <w:szCs w:val="24"/>
        </w:rPr>
        <w:t>500 zusätzliche Stellen schaffen. Wir wollen das Bundeskriminalamt als zentrales Datenhaus im polizeilichen Informationsverbund etablieren und einen gemeinsamen Investitionsfonds für die IT der deutschen Polizei schaffen. Im Bereich der Strafverfolgung werden wir den Datenaustausch zwischen Polizei und Justiz verbessern.</w:t>
      </w:r>
    </w:p>
    <w:p w:rsidR="0029759C" w:rsidRDefault="0029759C">
      <w:pPr>
        <w:spacing w:after="0" w:line="240" w:lineRule="auto"/>
        <w:contextualSpacing/>
        <w:jc w:val="both"/>
        <w:rPr>
          <w:rFonts w:ascii="Arial" w:hAnsi="Arial" w:cs="Arial"/>
          <w:sz w:val="24"/>
          <w:szCs w:val="24"/>
        </w:rPr>
      </w:pPr>
    </w:p>
    <w:p w:rsidR="0029759C" w:rsidRDefault="0029759C" w:rsidP="0029759C">
      <w:pPr>
        <w:spacing w:after="0" w:line="240" w:lineRule="auto"/>
        <w:contextualSpacing/>
        <w:jc w:val="both"/>
        <w:rPr>
          <w:rFonts w:ascii="Arial" w:hAnsi="Arial" w:cs="Arial"/>
          <w:sz w:val="24"/>
          <w:szCs w:val="24"/>
        </w:rPr>
      </w:pPr>
      <w:r>
        <w:rPr>
          <w:rFonts w:ascii="Arial" w:hAnsi="Arial" w:cs="Arial"/>
          <w:sz w:val="24"/>
          <w:szCs w:val="24"/>
        </w:rPr>
        <w:t>Der Gewalt gegen Polizeibeamtinnen und -beamte, Rettungskräfte und anderen Repräsentantinnen und Repräsentanten des Staates muss auf allen Ebenen konsequent entgegengewirkt werden.</w:t>
      </w:r>
    </w:p>
    <w:p w:rsidR="0029759C" w:rsidRDefault="0029759C" w:rsidP="0029759C">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Verfahrensrecht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stärken das Vertrauen in den Rechtsstaat, indem wir die Strafprozessordnung (StPO) modernisieren und Strafverfahren beschleunigen mit folgenden Maßnahmen: Wir modernisieren das Selbstleseverfahren. Wir ermöglichen in besonders umfangreichen Strafverfahren die gebündelte Vertretung der Interessen von Nebenklägern durch das Gericht. Wir prüfen die systematische Kodifizierung der Regeln zur Zulässigkeit von Beweiserhebung und -verwertung. Wir prüfen gesetzgeberischen Handlungsbedarf einer Rechtsgrundlage für die Tatprovokation. Wir unterstützen Einrichtungen, in denen Opfer von Gewalttaten ihre Verletzungen anonym dokumentieren lassen können. Wir vereinfachen weiter die Ablehnungsmöglichkeiten von missbräuchlichen Befangenheits- und Beweisanträgen. Besetzungsrügen sollen künftig in einem Vorab-Entscheidungsverfahren entschieden werden. Die DNA-Analyse wird im Strafverfahren auf äußerliche Merkmale (Haar, Augen, Hautfarbe) sowie Alter ausgeweitet (§ 81e StPO). Wir führen gesetzliche bundeseinheitliche Qualitätsstandards für Gerichtsdolmetscherinnen und -dolmetscher ein.</w:t>
      </w:r>
    </w:p>
    <w:p w:rsidR="00F84234" w:rsidRDefault="00F84234">
      <w:pPr>
        <w:rPr>
          <w:rFonts w:ascii="Arial" w:hAnsi="Arial" w:cs="Arial"/>
          <w:b/>
          <w:sz w:val="24"/>
          <w:szCs w:val="24"/>
        </w:rPr>
      </w:pPr>
      <w:r>
        <w:rPr>
          <w:rFonts w:cs="Arial"/>
          <w:szCs w:val="24"/>
        </w:rPr>
        <w:br w:type="page"/>
      </w:r>
    </w:p>
    <w:p w:rsidR="007F452D" w:rsidRDefault="006007DF">
      <w:pPr>
        <w:pStyle w:val="berschrift3"/>
        <w:contextualSpacing/>
        <w:rPr>
          <w:rFonts w:cs="Arial"/>
          <w:szCs w:val="24"/>
        </w:rPr>
      </w:pPr>
      <w:r>
        <w:rPr>
          <w:rFonts w:cs="Arial"/>
          <w:szCs w:val="24"/>
        </w:rPr>
        <w:lastRenderedPageBreak/>
        <w:t>Musterfeststellungsklage</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Durch die Einführung einer Musterfeststellungsklage werden wir die Rechtsdurchsetzung für die Verbraucherinnen und Verbraucher verbessern.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Klagebefugnis auf festgelegte qualifizierte Einrichtungen beschränken, um eine ausufernde Klageindustrie zu vermeiden. Bewährte wirtschaftliche Strukturen sollen nicht zerschlagen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drohende Verjährungen zum Jahresende 2018 verhindern und deshalb das Gesetz (spätestens) zum 1. November 2018 in Kraft treten lassen.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für die Einleitung des Verfahrens die schlüssige Darlegung und Glaubhaftmachung einer Mindestzahl von zehn individualisierten Betroffenen sowie für die Durchführung des Verfahrens von 50 Anmelderinnen und Anmeldern zum Klageregister in einer Frist von zwei Monaten festsetzen, um die Effektivität des Verfahrens für Gerichte und Parteien zu gewährleisten.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Feststellungen des Urteils sind für die Beklagte oder den Beklagten und die im Klageregister angemeldeten Betroffenen bindend. Die Bindungswirkung entfällt nur, wenn die Anmeldung bis zum Beginn der ersten mündlichen Verhandlung zurückgenommen ist.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Mit Blick auf kleine „Streuschäden“ prüfen wir einen Ausschluss von Abtretungsverboten für Forderungen in AGB. </w:t>
      </w:r>
    </w:p>
    <w:p w:rsidR="007F452D" w:rsidRDefault="007F452D">
      <w:pPr>
        <w:spacing w:after="0" w:line="240" w:lineRule="auto"/>
        <w:contextualSpacing/>
        <w:jc w:val="both"/>
        <w:rPr>
          <w:rFonts w:ascii="Arial" w:hAnsi="Arial" w:cs="Arial"/>
          <w:b/>
          <w:sz w:val="24"/>
          <w:szCs w:val="24"/>
        </w:rPr>
      </w:pPr>
    </w:p>
    <w:p w:rsidR="007F452D" w:rsidRDefault="006007DF">
      <w:pPr>
        <w:pStyle w:val="berschrift3"/>
        <w:contextualSpacing/>
        <w:rPr>
          <w:rFonts w:cs="Arial"/>
          <w:szCs w:val="24"/>
        </w:rPr>
      </w:pPr>
      <w:r>
        <w:rPr>
          <w:rFonts w:cs="Arial"/>
          <w:szCs w:val="24"/>
        </w:rPr>
        <w:t>Rechtsdurchsetzung und Schlichtung im Verbraucherschutz</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vorhandenen Marktwächter durch eine finanzielle Förderung verstetigen und auf eine rechtliche Grundlage stellen.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den Missbrauch des bewährten Abmahnrechts verhindern, z. B. durch die Einschränkung des fliegenden Gerichtsstandes, und so kleine und mittlere Unternehmen sowie Verbraucherinnen und Verbraucher schützen. Zudem wollen wir die Aufsicht über die Inkassounternehmen verstärken und die Regelungen zum Inkassorecht verbraucherfreundlich weiterentwickeln.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erleichtern Verbraucherinnen und Verbrauchern die Rechtsdurchsetzung durch Digitalisierung, insbesondere bei smart contracts. Deshalb werden wir die Entwicklung der automatischen Vertragsentschädigung fördern und rechtssicher gestalten.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allgemeine Verbraucherschlichtungsstelle wird dauerhaft zentral vom Bund getragen werden. Mit den Ländern sollen Gespräche über eine Beteiligung geführt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Verbraucherinnen und Verbraucher besser vor telefonisch untergeschobenen Verträgen und Kostenfallen schützen.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von der Möglichkeit Gebrauch machen, eine Reparaturklausel im Designrecht einzuführen und Verbraucherinnen und Verbraucher besser gegen Tachomanipulationen schützen.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Im Bauträgerrecht wollen wir vorhandene Schutzlücken durch wirksame Absicherung des Erwerbers eines Bauträgerobjekts für den Fall der Insolvenz des Bauträgers und eine Erleichterung der Abnahme bei Gemeinschaftseigentum schließen.</w:t>
      </w:r>
    </w:p>
    <w:p w:rsidR="00F84234" w:rsidRDefault="00F84234">
      <w:pPr>
        <w:pStyle w:val="berschrift3"/>
        <w:contextualSpacing/>
        <w:rPr>
          <w:rFonts w:cs="Arial"/>
          <w:szCs w:val="24"/>
        </w:rPr>
      </w:pPr>
    </w:p>
    <w:p w:rsidR="007F452D" w:rsidRDefault="006007DF">
      <w:pPr>
        <w:pStyle w:val="berschrift3"/>
        <w:contextualSpacing/>
        <w:rPr>
          <w:rFonts w:cs="Arial"/>
          <w:szCs w:val="24"/>
        </w:rPr>
      </w:pPr>
      <w:r>
        <w:rPr>
          <w:rFonts w:cs="Arial"/>
          <w:szCs w:val="24"/>
        </w:rPr>
        <w:t>Weitere Verfahren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Damit Asylverfahren bei den Verwaltungsgerichten künftig zügiger durchgeführt werden können, werden wir Gesetzesänderungen zur weiteren Verfahrensbeschleunigung, -vereinfachung und -vereinheitlichung prüfen.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Genehmigungsverfahren beschleunigen. Wir werden deshalb das Verwaltungsverfahrensrecht auf Möglichkeiten zur Beschleunigung von Genehmigungsverfahren prüfen.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erweitern die Wiederaufnahmemöglichkeiten zuungunsten der oder des freigesprochenen Angeklagten in Bezug auf die nicht verjährbaren Straftaten.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bCs/>
          <w:sz w:val="24"/>
          <w:szCs w:val="24"/>
        </w:rPr>
      </w:pPr>
      <w:r>
        <w:rPr>
          <w:rFonts w:ascii="Arial" w:hAnsi="Arial" w:cs="Arial"/>
          <w:bCs/>
          <w:sz w:val="24"/>
          <w:szCs w:val="24"/>
        </w:rPr>
        <w:t>Wir werden uns dafür einsetzen, dass der EU Rechtsrahmen für „Justice in Cyberspace/E-Evidence“, sowohl die schützenswerten Interessen der Dateninhaberinnen und -inhaber, der Netzgemeinde und der Provider berücksichtigt als auch dem Bedürfnis der Strafverfolgungspraxis nach Beschleunigung Rechnung trägt. Insbesondere werden wir uns für die Transparenz der Verfahren und dafür einsetzen, dass hohe rechtsstaatliche Standards gewährleistet sind.</w:t>
      </w:r>
    </w:p>
    <w:p w:rsidR="007F452D" w:rsidRDefault="007F452D">
      <w:pPr>
        <w:spacing w:after="0" w:line="240" w:lineRule="auto"/>
        <w:contextualSpacing/>
        <w:jc w:val="both"/>
        <w:rPr>
          <w:rFonts w:ascii="Arial" w:hAnsi="Arial" w:cs="Arial"/>
          <w:bCs/>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schaffen eine ausdrückliche gesetzliche Regelung, dass Verfahrensbeteiligte in Gerichtsverhandlungen ihr Gesicht weder ganz noch teilweise verdecken dürfen, außer medizinische Gründe sprechen dem entgegen, wenn es zur Identitätsfeststellung oder zur Beurteilung des Aussageverhaltens notwendig ist.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 xml:space="preserve">Digitales/Cybersicherheit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Eine erfolgreiche Digitalisierungsstrategie setzt Datensicherheit voraus. Wir wollen, dass gemeinsam zwischen Bund und Ländern, möglichst sogar in ganz Europa, Sicherheitsstandards für die IT-Strukturen und den Schutz der kritischen Infrastruktur entwickelt werden. Den mit dem IT-Sicherheitsgesetz eingeführten Ordnungsrahmen werden wir in einem IT-Sicherheitsgesetz 2.0 weiterentwickeln und ausbauen. In diesem Zusammenhang werden wir die Herstellerinnen und Hersteller sowie Anbieterinnen und Anbieter von IT-Produkten, die neben den kritischen Infrastrukturen von besonderem nationalem Interesse sind, stärker in die Pflicht nehmen.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 xml:space="preserve">Keine Toleranz bei Wirtschaftskriminalität, Einbruchdiebstahl und </w:t>
      </w:r>
      <w:r w:rsidR="00FA6302">
        <w:rPr>
          <w:rFonts w:cs="Arial"/>
          <w:szCs w:val="24"/>
        </w:rPr>
        <w:t xml:space="preserve">Organisierter </w:t>
      </w:r>
      <w:r>
        <w:rPr>
          <w:rFonts w:cs="Arial"/>
          <w:szCs w:val="24"/>
        </w:rPr>
        <w:t>Kriminalität.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bekämpfen konsequent jede Form von Kriminalität, insbesondere die </w:t>
      </w:r>
      <w:r w:rsidR="00FA6302">
        <w:rPr>
          <w:rFonts w:ascii="Arial" w:hAnsi="Arial" w:cs="Arial"/>
          <w:sz w:val="24"/>
          <w:szCs w:val="24"/>
        </w:rPr>
        <w:t xml:space="preserve">Organisierte </w:t>
      </w:r>
      <w:r>
        <w:rPr>
          <w:rFonts w:ascii="Arial" w:hAnsi="Arial" w:cs="Arial"/>
          <w:sz w:val="24"/>
          <w:szCs w:val="24"/>
        </w:rPr>
        <w:t>Kriminalität. Wohnungseinbrüche führen nicht nur zu materiellen Schäden, sondern häufig zu einer Traumatisierung der Opfer. Unseren Kampf gegen Einbrecher intensivieren wir deshalb weiter, indem wir unseren Sicherheitsbehörden die notwendigen Ermittlungsinstrumente zur Verfügung stellen und die in der vergangenen Legislaturperiode beschlossenen Maßnahmen zur Ahndung und Bekämpfung von Einbruchskriminalität konsequent anwenden. Darüber hinaus unterstützen wir die Bürger dabei, Einbrüche in ihre Wohnungen oder Häuser zu verhindern.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Das </w:t>
      </w:r>
      <w:r>
        <w:rPr>
          <w:rFonts w:ascii="Arial" w:hAnsi="Arial" w:cs="Arial"/>
          <w:bCs/>
          <w:sz w:val="24"/>
          <w:szCs w:val="24"/>
        </w:rPr>
        <w:t>KfW-Förderprogramm</w:t>
      </w:r>
      <w:r>
        <w:rPr>
          <w:rFonts w:ascii="Arial" w:hAnsi="Arial" w:cs="Arial"/>
          <w:sz w:val="24"/>
          <w:szCs w:val="24"/>
        </w:rPr>
        <w:t xml:space="preserve"> „Kriminalprävention durch Einbruchsicherung“ ist ein Beispiel für gelungene Prävention. Diese Förderung wollen wir aufstocken und auf Mehr</w:t>
      </w:r>
      <w:r>
        <w:rPr>
          <w:rFonts w:ascii="Arial" w:hAnsi="Arial" w:cs="Arial"/>
          <w:sz w:val="24"/>
          <w:szCs w:val="24"/>
        </w:rPr>
        <w:lastRenderedPageBreak/>
        <w:t>familienhäuser erweitern, um flächendeckend Einbruchsschutz von Wohnungen und Häusern zu erreichen. Wir werden in Abstimmung mit den Ländern Möglichkeiten prüfen, um den Einbau von Einbruchschutz bei Neubauten zu fördern.</w:t>
      </w:r>
    </w:p>
    <w:p w:rsidR="00F84234" w:rsidRDefault="00F84234">
      <w:pPr>
        <w:pStyle w:val="berschrift3"/>
        <w:contextualSpacing/>
        <w:rPr>
          <w:rFonts w:cs="Arial"/>
          <w:szCs w:val="24"/>
        </w:rPr>
      </w:pPr>
    </w:p>
    <w:p w:rsidR="007F452D" w:rsidRDefault="006007DF">
      <w:pPr>
        <w:pStyle w:val="berschrift3"/>
        <w:contextualSpacing/>
        <w:rPr>
          <w:rFonts w:cs="Arial"/>
          <w:i/>
          <w:szCs w:val="24"/>
        </w:rPr>
      </w:pPr>
      <w:r>
        <w:rPr>
          <w:rFonts w:cs="Arial"/>
          <w:szCs w:val="24"/>
        </w:rPr>
        <w:t>Unternehmenssanktionen</w:t>
      </w:r>
      <w:r>
        <w:rPr>
          <w:rFonts w:cs="Arial"/>
          <w:i/>
          <w:szCs w:val="24"/>
        </w:rPr>
        <w:t xml:space="preserve"> </w:t>
      </w:r>
    </w:p>
    <w:p w:rsidR="007F452D" w:rsidRDefault="006007DF">
      <w:pPr>
        <w:spacing w:after="0" w:line="240" w:lineRule="auto"/>
        <w:contextualSpacing/>
        <w:jc w:val="both"/>
        <w:rPr>
          <w:rFonts w:ascii="Arial" w:hAnsi="Arial" w:cs="Arial"/>
          <w:bCs/>
          <w:sz w:val="24"/>
          <w:szCs w:val="24"/>
        </w:rPr>
      </w:pPr>
      <w:r>
        <w:rPr>
          <w:rFonts w:ascii="Arial" w:hAnsi="Arial" w:cs="Arial"/>
          <w:sz w:val="24"/>
          <w:szCs w:val="24"/>
        </w:rPr>
        <w:t>Wir wollen sicherstellen, dass Wirtschaftskriminalität wirksam verfolgt und angemessen geahndet wird. Deshalb regeln wir das Sanktionsrecht für Unternehmen neu.</w:t>
      </w:r>
      <w:r>
        <w:rPr>
          <w:rFonts w:ascii="Arial" w:hAnsi="Arial" w:cs="Arial"/>
          <w:iCs/>
          <w:sz w:val="24"/>
          <w:szCs w:val="24"/>
        </w:rPr>
        <w:t xml:space="preserve"> Wir werden sicherstellen, dass bei Wirtschaftskriminalität grundsätzlich auch die von Fehlverhalten von Mitarbeiterinnen und Mitarbeitern profitierenden Unternehmen </w:t>
      </w:r>
      <w:r>
        <w:rPr>
          <w:rFonts w:ascii="Arial" w:hAnsi="Arial" w:cs="Arial"/>
          <w:bCs/>
          <w:iCs/>
          <w:sz w:val="24"/>
          <w:szCs w:val="24"/>
        </w:rPr>
        <w:t xml:space="preserve">stärker </w:t>
      </w:r>
      <w:r>
        <w:rPr>
          <w:rFonts w:ascii="Arial" w:hAnsi="Arial" w:cs="Arial"/>
          <w:iCs/>
          <w:sz w:val="24"/>
          <w:szCs w:val="24"/>
        </w:rPr>
        <w:t>sanktioniert werden.</w:t>
      </w:r>
      <w:r>
        <w:rPr>
          <w:rFonts w:ascii="Arial" w:hAnsi="Arial" w:cs="Arial"/>
          <w:sz w:val="24"/>
          <w:szCs w:val="24"/>
        </w:rPr>
        <w:t xml:space="preserve"> Bislang liegt es im Ermessen der zuständigen Behörde, ob auch das betreffende Unternehmen verfolgt wird. Durch die Abkehr vom Opportunitätsprinzip des bislang einschlägigen Ordnungswidrigkeitenrechts sorgen wir für eine bundesweit einheitliche Rechtsanwendung. Durch klare Verfahrensregelungen erhöhen wir zudem die Rechtssicherheit der betroffenen Unternehmen. Zugleich werden wir spezifische Regelungen über Verfahrenseinstellungen schaffen, um der Justizpraxis die notwendige Flexibilität in der Verfolgung einzuräumen. Wir werden das Sanktionsinstrumentarium erweitern: Die geltende Bußgeldobergrenze von bis zu zehn Millionen Euro ist für kleinere Unternehmen zu hoch und für große Konzerne zu niedrig. Wir werden sicherstellen, dass sich die Höhe der Geldsanktion künftig an der Wirtschaftskraft des Unternehmens orientiert.</w:t>
      </w:r>
      <w:r>
        <w:rPr>
          <w:rFonts w:ascii="Arial" w:hAnsi="Arial" w:cs="Arial"/>
          <w:bCs/>
          <w:sz w:val="24"/>
          <w:szCs w:val="24"/>
        </w:rPr>
        <w:t xml:space="preserve"> </w:t>
      </w:r>
      <w:r>
        <w:rPr>
          <w:rFonts w:ascii="Arial" w:hAnsi="Arial" w:cs="Arial"/>
          <w:sz w:val="24"/>
          <w:szCs w:val="24"/>
        </w:rPr>
        <w:t xml:space="preserve">Bei Unternehmen mit mehr als </w:t>
      </w:r>
      <w:r w:rsidR="00F84234">
        <w:rPr>
          <w:rFonts w:ascii="Arial" w:hAnsi="Arial" w:cs="Arial"/>
          <w:sz w:val="24"/>
          <w:szCs w:val="24"/>
        </w:rPr>
        <w:t>100 </w:t>
      </w:r>
      <w:r>
        <w:rPr>
          <w:rFonts w:ascii="Arial" w:hAnsi="Arial" w:cs="Arial"/>
          <w:sz w:val="24"/>
          <w:szCs w:val="24"/>
        </w:rPr>
        <w:t xml:space="preserve">Millionen Euro Umsatz soll die Höchstgrenze bei zehn Prozent des Umsatzes liegen. Zudem schaffen wir weitere Sanktionsinstrumente. Weiterhin schaffen wir konkrete und nachvollziehbare Zumessungsregeln für Unternehmensgeldsanktionen. </w:t>
      </w:r>
      <w:r>
        <w:rPr>
          <w:rFonts w:ascii="Arial" w:hAnsi="Arial" w:cs="Arial"/>
          <w:bCs/>
          <w:sz w:val="24"/>
          <w:szCs w:val="24"/>
        </w:rPr>
        <w:t>Die Sanktionen sollen auf geeignetem Weg öffentlich bekannt gemacht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Rechtssicherheit für alle Beteiligten zu schaffen, werden wir gesetzliche Vorgaben für „Internal Investigations“ schaffen, insbesondere mit Blick auf beschlagnahmte Unterlagen und Durchsuchungsmöglichkeiten. Wir werden gesetzliche Anreize zur Aufklärungshilfe durch „Internal Investigations“ und zur anschließenden Offenlegung der hieraus gewonnenen Erkenntnisse setzen.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 xml:space="preserve">Sicherheitsarchitektur/Operative Fähigkeiten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keine Zonen unterschiedlicher Sicherheit in Deutschland. Dazu gehört die Erarbeitung eines gemeinsamen Musterpolizeigesetzes (gemäß Innenministerkonferenz-Beschluss).</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uns dafür einsetzen, dass die Bundespolizei bundesweit im Rahmen der bestehenden Zuständigkeiten und Aufgaben eingesetzt wird, so auch zur Bekämpfung von Straftaten an Kriminalitätsschwerpunkten wie z. B. Bahnhöfen, insbesondere von Alltagskriminalität. Die Bereitschaftspolizeien der Länder sowie des Bundes sind eine tragende Säule der inneren Sicherheit und sehen sich einer erhöhten Einsatzbelastung flächendeckend ausgesetzt. Die erforderliche Verbesserung der Ausstattung wird intensiviert.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Menschen sollen sich auf unseren Straßen und Plätzen sicher bewegen können. Deshalb wollen wir die Videoüberwachung an Brennpunkten einsetzen, sie verhältnismäßig und mit Augenmaß effektiv ausbauen und dabei auch technisch verbessern. Intelligente Videoüberwachung kann dabei eine Weiterentwicklung sein. Deswegen werden wir den laufenden Modellversuch abwarten, prüfen und bewerten.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Private Sicherheitsbetriebe leisten einen wichtigen Beitrag zur Sicherheit. Durch die Neuordnung der Regelungen für das private Sicherheitsgewerbe in einem eigenständigen Gesetz werden wir die Sicherheitsstandards in diesem Gewerbezweig verbessern und so für noch mehr Sicherheit und Verlässlichkeit sorgen.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Bei der Bekämpfung des Terrorismus wollen wir im Rahmen eines zeitgemäßen und effektiven Rechts gemeinsame Standards, verbindlichen Umgang, einheitliche Praxis und klare Zuständigkeitsregelungen. Die Standorte der Bundessicherheitsbehörden sollen bestehen bleiben. Das Gemeinsame Terrorismusabwehrzentrum (GTAZ) werden wir gemeinsam mit den Ländern als Kooperations- und Kommunikationsplattform so weiterentwickeln, dass dort Informationen reibungsloser ausgetauscht und verbindliche Absprachen auch zur Bearbeitung des Einzelfalls getroffen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Zur Verbesserung der Sicherheit in unserem Land wird das Bundesamt für Verfassungsschutz (BfV) im Bereich der </w:t>
      </w:r>
      <w:r>
        <w:rPr>
          <w:rFonts w:ascii="Arial" w:hAnsi="Arial" w:cs="Arial"/>
          <w:bCs/>
          <w:sz w:val="24"/>
          <w:szCs w:val="24"/>
        </w:rPr>
        <w:t>zentralen Auswertung und Analyse</w:t>
      </w:r>
      <w:r>
        <w:rPr>
          <w:rFonts w:ascii="Arial" w:hAnsi="Arial" w:cs="Arial"/>
          <w:sz w:val="24"/>
          <w:szCs w:val="24"/>
        </w:rPr>
        <w:t xml:space="preserve"> in Angelegenheiten des islamistischen Terrorismus sowie bei </w:t>
      </w:r>
      <w:r>
        <w:rPr>
          <w:rFonts w:ascii="Arial" w:hAnsi="Arial" w:cs="Arial"/>
          <w:bCs/>
          <w:sz w:val="24"/>
          <w:szCs w:val="24"/>
        </w:rPr>
        <w:t>länderübergreifenden extremistischen Phänomenen von bundesweiter Bedeutung</w:t>
      </w:r>
      <w:r>
        <w:rPr>
          <w:rFonts w:ascii="Arial" w:hAnsi="Arial" w:cs="Arial"/>
          <w:sz w:val="24"/>
          <w:szCs w:val="24"/>
        </w:rPr>
        <w:t xml:space="preserve"> seine Steuerungsfunktion verstärkt wahrnehmen, auch bei solchen, die zunächst keinen unmittelbaren Gewaltbezug aufweisen. Aufgrund des ständigen technischen Fortschrittes und des damit einhergehenden personellen und finanziellen Ressourceneinsatzes soll das BfV als zentrale Servicedienststelle für den Einsatz operativer Technik im Verbund gestärkt werden. Zudem wollen wir die Befugnisse des Verfassungsschutzes des Bundes und der Länder vereinheitlichen, insbesondere bei der Datenerhebung und Datenspeicherung. Zu diesem Zwecke werden wir das Bundesverfassungsschutzgesetz auf Grundlage eines einheitlichen Rechtsrahmens der Innenministerkonferenz novellieren. Wir sind uns bewusst, dass auch maßvolle und sachgerechte Kompetenzerweiterungen des BfV eine gleichzeitige und entsprechende Ausweitung der parlamentarischen Kontrolle erfordern.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haben in der vergangenen Wahlperiode die gesetzliche Grundlage für eine effektivere Kontrolle der Nachrichtendienste geschaffen. Die Bundesregierung wird diese Kontrolle durch eine umfassende Wahrnehmung der Unterrichtungs- und Vorlagepflichten gegenüber den gesetzlich vorgesehenen Kontrollorganen unterstützen.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europäische Sicherheitskooperation unter Einbeziehung und Stärkung internationaler und europäischer Organisationen (Europol, Interpol, Europäische Staatsanwaltschaft) verbessern und vertiefen. Ziel muss es sein, durch strukturelle Maßnahmen und mit einer leistungsfähigen IT-Struktur sicherzustellen, dass Straftäterinnen und Straftäter sowie Gefährderinnen und Gefährder überall in Europa identifiziert und relevante Erkenntnisse ausgetauscht werden können. Zu diesem Zwecke werden wir auf eine effektive Vernetzung und Verbesserung der für die Sicherheitsbehörden relevanten Datenbanken hinwirken. Den Informationsaustausch und die Koordinierung von präventiven und operativen Maßnahmen zwischen den EU-Mitgliedstaaten bei Europol im Rahmen des „European Counter Terrorism Center“ und auch die internationale Zusammenarbeit, u. a. im Rahmen von Interpol, wollen wir intensivieren und verbessern. Wir wollen dabei in Absprache mit den Ländern auch die europäische und internationale Zusammenarbeit bei der Bekämpfung der </w:t>
      </w:r>
      <w:r w:rsidR="00FA6302">
        <w:rPr>
          <w:rFonts w:ascii="Arial" w:hAnsi="Arial" w:cs="Arial"/>
          <w:sz w:val="24"/>
          <w:szCs w:val="24"/>
        </w:rPr>
        <w:t xml:space="preserve">Organisierten </w:t>
      </w:r>
      <w:r>
        <w:rPr>
          <w:rFonts w:ascii="Arial" w:hAnsi="Arial" w:cs="Arial"/>
          <w:sz w:val="24"/>
          <w:szCs w:val="24"/>
        </w:rPr>
        <w:t>Kriminalität intensivieren und ebenso die Bekämpfung der Organisierten Kriminalität beim Bundeskriminalamt stärken, um etwa organisierten Einbrecherbanden noch besser zu begegnen.</w:t>
      </w:r>
    </w:p>
    <w:p w:rsidR="007F452D" w:rsidRDefault="007F452D">
      <w:pPr>
        <w:spacing w:after="0" w:line="240" w:lineRule="auto"/>
        <w:contextualSpacing/>
        <w:jc w:val="both"/>
        <w:rPr>
          <w:rFonts w:ascii="Arial" w:hAnsi="Arial" w:cs="Arial"/>
          <w:i/>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bekennen uns zum deutschen Engagement in internationalen Polizeimissionen. Wir werden Möglichkeiten finden, dies auszubauen, etwa durch Einrichtung eines Stellenpools für Auslandsverwendungen und Polizeimissionen.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Befugnisse</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Sicherheitsbehörden brauchen gleichwertige Befugnisse im Umgang mit dem Internet wie außerhalb des Internets. Das bedeutet im Einzelnen: Es darf für die Befugnisse der Polizei zu Eingriffen in das Fernmeldegeheimnis zum Schutz der Bevölkerung keinen Unterschied machen, ob die Nutzer sich zur Kommunikation der klassischen Telefonie oder klassischer SMS bedienen oder ob sie auf internetbasierte Messenger-Dienste ausweichen. Die Zusammenarbeit von Bund und Ländern bei der Cyberabwehr soll ausgebaut, verbessert und strukturell neu geordnet werden. Die Rolle des Bundesamts für Sicherheit in der Informationstechnik (BSI) wird gestärkt.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Wo Strafbarkeitslücken bestehen, werden wir eine Strafbarkeit für das Betreiben krimineller Infrastrukturen einführen, um speziell im Internet eine Ahndung von Delikten wie z. B. das Betreiben eines Darknet-Handelsplatzes für kriminelle Waren und Dienstleistungen einzuführen.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Angriffe aus dem Cyberraum gegen unsere kritischen Infrastrukturen abwehren und verhindern.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Sicherheitsbehörden bei der Verfolgung und Prävention von Cyberkriminalität durch die Schaffung notwendiger rechtlicher, organisatorischer sowie technischer Rahmenbedingungen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dass die Sicherheitsbehörden ihre bestehenden Befugnisse auch in der digitalen Welt anwenden und tatsächlich durchsetzen können.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einen neuen Verlusttatbestand in das Staatsangehörigkeitsgesetz einfügen, wonach Deutsche, die eine weitere Staatsangehörigkeit besitzen, die deutsche Staatsangehörigkeit verlieren können, wenn ihnen die konkrete Beteiligung an Kampfhandlungen einer Terrormiliz im Ausland nachgewiesen werden kann. </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5"/>
        </w:numPr>
        <w:contextualSpacing/>
        <w:rPr>
          <w:szCs w:val="24"/>
        </w:rPr>
      </w:pPr>
      <w:bookmarkStart w:id="58" w:name="_Toc505767182"/>
      <w:r>
        <w:rPr>
          <w:szCs w:val="24"/>
        </w:rPr>
        <w:t>Moderner Staat</w:t>
      </w:r>
      <w:bookmarkEnd w:id="58"/>
    </w:p>
    <w:p w:rsidR="007F452D" w:rsidRDefault="007F452D">
      <w:pPr>
        <w:spacing w:after="0" w:line="240" w:lineRule="auto"/>
        <w:contextualSpacing/>
        <w:jc w:val="both"/>
        <w:rPr>
          <w:rFonts w:ascii="Arial" w:hAnsi="Arial" w:cs="Arial"/>
        </w:rPr>
      </w:pPr>
    </w:p>
    <w:p w:rsidR="007F452D" w:rsidRDefault="006007DF">
      <w:pPr>
        <w:pStyle w:val="berschrift3"/>
        <w:contextualSpacing/>
        <w:rPr>
          <w:rFonts w:cs="Arial"/>
          <w:szCs w:val="24"/>
        </w:rPr>
      </w:pPr>
      <w:r>
        <w:rPr>
          <w:rFonts w:cs="Arial"/>
          <w:szCs w:val="24"/>
        </w:rPr>
        <w:t>Öffentlicher Dienst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bekennen uns zu einem modernen öffentlichen Dienst, der mit bestens ausgebildeten und hochmotivierten Beschäftigten seine Aufgabe gut, zuverlässig und effizient erledigt. Wir werden uns um die Nachwuchsgewinnung kümmern. Der öffentliche Dienst muss unter Beibehaltung seiner Qualifikationsanforderungen attraktiv sein, damit der Staat im Wettbewerb um die besten Köpfe bestehen kann. Tarifabschlüsse (TVöD) wollen wir grundsätzlich gleich auf die Bundesbeamtenbesoldung übertragen. Das Bundespersonalvertretungsrecht wird novelliert.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Arbeitszeitkontenmodelle im öffentlichen Dienst einführen, die einen planbaren Überstunden- und Mehrarbeitsabbau unter Berücksichtigung besonders belasteter Bereiche ermöglichen.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Der Bund nimmt für seine Beschäftigten, insbesondere auch für die Beamtinnen und Beamten der Bundespolizei, in Gebieten mit angespannten Wohnungsmärkten die </w:t>
      </w:r>
      <w:r>
        <w:rPr>
          <w:rFonts w:ascii="Arial" w:hAnsi="Arial" w:cs="Arial"/>
          <w:sz w:val="24"/>
          <w:szCs w:val="24"/>
        </w:rPr>
        <w:lastRenderedPageBreak/>
        <w:t xml:space="preserve">Wohnungsfürsorge verstärkt wahr. Dazu soll der Wohnungsbestand der Bundesanstalt für Immobilienaufgaben genutzt und weiterentwickelt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stehen zum Bonn-Berlin-Gesetz. Bonn bleibt das zweite bundespolitische Zen-trum. Der Bund wird mit der Region Bonn sowie den Bundesländern Nordrhein-Westfalen und Rheinland-Pfalz eine vertragliche Zusatzvereinbarung („Bonn-Ver-trag“) schließen.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 xml:space="preserve">Digitale Verwaltung </w:t>
      </w:r>
    </w:p>
    <w:p w:rsidR="007F452D" w:rsidRDefault="006007DF">
      <w:pPr>
        <w:spacing w:after="0" w:line="240" w:lineRule="auto"/>
        <w:contextualSpacing/>
        <w:jc w:val="both"/>
        <w:rPr>
          <w:rFonts w:ascii="Arial" w:eastAsia="Times New Roman" w:hAnsi="Arial" w:cs="Arial"/>
          <w:bCs/>
          <w:sz w:val="24"/>
          <w:szCs w:val="24"/>
          <w:lang w:eastAsia="de-DE"/>
        </w:rPr>
      </w:pPr>
      <w:r>
        <w:rPr>
          <w:rFonts w:ascii="Arial" w:eastAsia="Times New Roman" w:hAnsi="Arial" w:cs="Arial"/>
          <w:bCs/>
          <w:sz w:val="24"/>
          <w:szCs w:val="24"/>
          <w:lang w:eastAsia="de-DE"/>
        </w:rPr>
        <w:t xml:space="preserve">Der digitale Zugang zu Verwaltungsleistungen soll zur Regel, Schriftform und das persönliche Erscheinen soweit möglich durch gleichwertige digitale Lösungen ersetzt werden (Digital First). </w:t>
      </w:r>
    </w:p>
    <w:p w:rsidR="007F452D" w:rsidRDefault="007F452D">
      <w:pPr>
        <w:spacing w:after="0" w:line="240" w:lineRule="auto"/>
        <w:contextualSpacing/>
        <w:jc w:val="both"/>
        <w:rPr>
          <w:rFonts w:ascii="Arial" w:eastAsia="Times New Roman" w:hAnsi="Arial" w:cs="Arial"/>
          <w:bCs/>
          <w:sz w:val="24"/>
          <w:szCs w:val="24"/>
          <w:lang w:eastAsia="de-DE"/>
        </w:rPr>
      </w:pPr>
    </w:p>
    <w:p w:rsidR="007F452D" w:rsidRDefault="006007DF">
      <w:pPr>
        <w:spacing w:after="0" w:line="240" w:lineRule="auto"/>
        <w:contextualSpacing/>
        <w:jc w:val="both"/>
        <w:rPr>
          <w:rFonts w:ascii="Arial" w:eastAsia="Times New Roman" w:hAnsi="Arial" w:cs="Arial"/>
          <w:bCs/>
          <w:sz w:val="24"/>
          <w:szCs w:val="24"/>
          <w:lang w:eastAsia="de-DE"/>
        </w:rPr>
      </w:pPr>
      <w:r>
        <w:rPr>
          <w:rFonts w:ascii="Arial" w:eastAsia="Times New Roman" w:hAnsi="Arial" w:cs="Arial"/>
          <w:bCs/>
          <w:sz w:val="24"/>
          <w:szCs w:val="24"/>
          <w:lang w:eastAsia="de-DE"/>
        </w:rPr>
        <w:t>Wir wollen ein digitales „Bürgerportal“ für Bürgerinnen und Bürger und Unternehmen schaffen, indem wir zentrale und dezentrale Verwaltungsportale miteinander vernetzen.</w:t>
      </w:r>
    </w:p>
    <w:p w:rsidR="007F452D" w:rsidRDefault="007F452D">
      <w:pPr>
        <w:spacing w:after="0" w:line="240" w:lineRule="auto"/>
        <w:contextualSpacing/>
        <w:jc w:val="both"/>
        <w:rPr>
          <w:rFonts w:ascii="Arial" w:eastAsia="Times New Roman" w:hAnsi="Arial" w:cs="Arial"/>
          <w:bCs/>
          <w:sz w:val="24"/>
          <w:szCs w:val="24"/>
          <w:lang w:eastAsia="de-DE"/>
        </w:rPr>
      </w:pPr>
    </w:p>
    <w:p w:rsidR="007F452D" w:rsidRDefault="006007DF">
      <w:pPr>
        <w:spacing w:after="0" w:line="240" w:lineRule="auto"/>
        <w:contextualSpacing/>
        <w:jc w:val="both"/>
        <w:rPr>
          <w:rFonts w:ascii="Arial" w:eastAsia="Times New Roman" w:hAnsi="Arial" w:cs="Arial"/>
          <w:bCs/>
          <w:sz w:val="24"/>
          <w:szCs w:val="24"/>
          <w:lang w:eastAsia="de-DE"/>
        </w:rPr>
      </w:pPr>
      <w:r>
        <w:rPr>
          <w:rFonts w:ascii="Arial" w:eastAsia="Times New Roman" w:hAnsi="Arial" w:cs="Arial"/>
          <w:bCs/>
          <w:sz w:val="24"/>
          <w:szCs w:val="24"/>
          <w:lang w:eastAsia="de-DE"/>
        </w:rPr>
        <w:t xml:space="preserve">Bürgerinnen und Bürger und Unternehmen sollen ihre Daten grundsätzlich nur einmal angeben müssen. Mit ihrer Zustimmung sollen bestimmte zur Verfügung gestellte Daten unter den Behörden weitergegeben werden. Wir wollen damit auch erreichen, dass berechtigte Leistungsansprüche, wie z. B. das Kindergeld nach der Meldung einer Geburt, künftig antragslos und proaktiv gewährt werden können. Dabei sorgen wir für sichere Kommunikationswege, sowie vollständige Transparenz und Kontrolle der Bürgerinnen und Bürger über ihre Daten. </w:t>
      </w:r>
    </w:p>
    <w:p w:rsidR="007F452D" w:rsidRDefault="007F452D">
      <w:pPr>
        <w:spacing w:after="0" w:line="240" w:lineRule="auto"/>
        <w:contextualSpacing/>
        <w:jc w:val="both"/>
        <w:rPr>
          <w:rFonts w:ascii="Arial" w:eastAsia="Times New Roman" w:hAnsi="Arial" w:cs="Arial"/>
          <w:bCs/>
          <w:sz w:val="24"/>
          <w:szCs w:val="24"/>
          <w:lang w:eastAsia="de-DE"/>
        </w:rPr>
      </w:pPr>
    </w:p>
    <w:p w:rsidR="007F452D" w:rsidRDefault="006007DF">
      <w:pPr>
        <w:spacing w:after="0" w:line="240" w:lineRule="auto"/>
        <w:contextualSpacing/>
        <w:jc w:val="both"/>
        <w:rPr>
          <w:rFonts w:ascii="Arial" w:hAnsi="Arial" w:cs="Arial"/>
          <w:sz w:val="24"/>
          <w:szCs w:val="24"/>
        </w:rPr>
      </w:pPr>
      <w:r>
        <w:rPr>
          <w:rFonts w:ascii="Arial" w:eastAsia="Times New Roman" w:hAnsi="Arial" w:cs="Arial"/>
          <w:bCs/>
          <w:sz w:val="24"/>
          <w:szCs w:val="24"/>
          <w:lang w:eastAsia="de-DE"/>
        </w:rPr>
        <w:t>Wir stehen zu unseren Verpflichtungen aus dem internationalen Open Government Partnership. Im Bereich Open Data wollen wir erreichen, dass die Bundesregierung internationaler Vorreiter wird. Die entsprechende Veröffentlichung von Daten soll entsprechend dem Prinzip „Open by default“ Teil des täglichen Verwaltungshandelns werden. Der digitale Wandel der öffentlichen Verwaltung wird auch in der Aus- und Fortbildung und der Organisationsentwicklung vorangetrieben.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Datenschutz</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Bei der Plattformregulierung soll ein sektorspezifischer Ansatz verfolgt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Mitte 2020 anstehende Evaluierung der Datenschutz-Grundverordnung (DS-GVO) wollen wir intensiv begleiten und dabei alle Regelungen auf ihre Zukunftsfähigkeit und Effektivität überprüfen. Wir wollen eine sichere, mobile, digitale Authentifizierung.</w:t>
      </w:r>
    </w:p>
    <w:p w:rsidR="007F452D" w:rsidRDefault="007F452D">
      <w:pPr>
        <w:spacing w:after="0" w:line="240" w:lineRule="auto"/>
        <w:contextualSpacing/>
        <w:jc w:val="both"/>
        <w:rPr>
          <w:rFonts w:ascii="Arial" w:hAnsi="Arial" w:cs="Arial"/>
          <w:i/>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Arbeit der Stiftung Datenschutz fördern.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Frage, ob und wie ein Eigentum an Daten ausgestaltet sein kann, müssen wir zügig angehen. Wir wollen die Öffnungsklausel in Artikel 88 der </w:t>
      </w:r>
      <w:r w:rsidR="003521A2">
        <w:rPr>
          <w:rFonts w:ascii="Arial" w:hAnsi="Arial" w:cs="Arial"/>
          <w:sz w:val="24"/>
          <w:szCs w:val="24"/>
        </w:rPr>
        <w:t>EU-</w:t>
      </w:r>
      <w:r>
        <w:rPr>
          <w:rFonts w:ascii="Arial" w:hAnsi="Arial" w:cs="Arial"/>
          <w:sz w:val="24"/>
          <w:szCs w:val="24"/>
        </w:rPr>
        <w:t xml:space="preserve">Datenschutz-Grundverordnung nutzen und prüfen die Schaffung eines </w:t>
      </w:r>
      <w:r w:rsidR="003521A2">
        <w:rPr>
          <w:rFonts w:ascii="Arial" w:hAnsi="Arial" w:cs="Arial"/>
          <w:sz w:val="24"/>
          <w:szCs w:val="24"/>
        </w:rPr>
        <w:t xml:space="preserve">eigenständigen </w:t>
      </w:r>
      <w:r>
        <w:rPr>
          <w:rFonts w:ascii="Arial" w:hAnsi="Arial" w:cs="Arial"/>
          <w:sz w:val="24"/>
          <w:szCs w:val="24"/>
        </w:rPr>
        <w:t>Gesetzes zum Beschäftigtendatenschutz, das die Persönlichkeitsrechte der Beschäftigten am Arbeitsplatz schützt und Rechtssicherheit für den Arbeitgeber schafft.</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 xml:space="preserve">Zivil- und Katastrophenschutz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den Zivil- und Katastrophenschutz sachgemäß und den heutigen Anforderungen entsprechend strukturieren und ausstatten.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Einen wichtigen Beitrag für unser funktionierendes Hilfeleistungssystem für Katastrophen leisten die vielen ehren- und hauptamtlichen Helferinnen und Helfer bei den Feuerwehren, den Hilfsorganisationen und dem Technischen Hilfswerk (THW). Wir wollen das ehrenamtliche Engagement nachhaltig stärken. Wir wollen die Arbeit der 80 000 ehrenamtlichen Helferinnen und Helfer des THW durch einen weiteren Ausbau des hauptamtlichen Personals unterstützen – auch beim Bundesamt für Bevölkerungsschutz und Katastrophenhilfe (BBK) – und entlasten sowie weiter darin fortfahren, den Investitionsstau bei der Fahrzeugbeschaffung und den Liegenschaften des THW abzubauen. Der Bund wird seiner Verpflichtung im Rahmen des ergänzenden Katastrophenschutzes gerecht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Um Anerkennung und Wertschätzung für ehrenamtlich Tätige zu erhöhen und die Nachwuchsgewinnung zu stärken, wollen wir bei öffentlichen wie privaten Arbeitgebern dafür werben, bei gleicher Qualifizierung ehrenamtlich Tätige (z. B. aktive Mitglieder Freiwilliger Feuerwehren oder des THW) bevorzugt einzustellen.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5"/>
        </w:numPr>
        <w:contextualSpacing/>
        <w:rPr>
          <w:szCs w:val="24"/>
        </w:rPr>
      </w:pPr>
      <w:bookmarkStart w:id="59" w:name="_Toc505767183"/>
      <w:r>
        <w:rPr>
          <w:szCs w:val="24"/>
        </w:rPr>
        <w:t>Modernes Recht für eine moderne Gesellschaft</w:t>
      </w:r>
      <w:bookmarkEnd w:id="59"/>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Eine moderne Gesellschaft braucht modernes Recht.</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Opferschutz</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den Opferschutz weiter stärken. Die Empfehlungen des Opferbeauftragten für die Opfer und Hinterbliebenen des Anschlags auf dem Breitscheidplatz werden wir zügig umsetzen, die Erfahrungen nach den Morden und Sprengstoffanschlägen der Terrorgruppe NSU berücksichtigen und zentrale Strukturen auf Bundesebene schaffen. Dazu werden wir innerhalb der Bundesregierung als dauerhafte Struktur eine/n ständige/n Opferbeauftragte/n einrichten, um Opfern sofort einen direkten Ansprechpartner an die Seite zu stellen.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Opferentschädigung neu regeln, erhöhen die Härteleistungen des Bundes signifikant und stellen die für die Betreuung der Opfer und Abwicklung der Hilfeleistungen erforderlichen personellen und finanziellen Mittel zur Verfügung.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Mit einer Informations-Kampagne werden wir die Angebote der Opferhilfe und des Opferschutzes in der Öffentlichkeit bekannter machen.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alles Notwendige tun, um Kindesmissbrauch und Kinderpornografie möglichst zu verhindern und entschieden zu bekämpfen. Präventionsprogramme wie „Kein Täter werden" sind dabei ein wichtiges Element. Wir führen eine Strafbarkeit für den Versuch des Cybergroomings ein, um Kinder im Internet besser zu schützen und die Effektivität der Strafverfolgung pädophiler Täter, die im Netz Jagd auf Kinder machen, zu erhöhen.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Befugnis der Bewährungshelferinnen und -helfer sowie Führungsaufsichtsstellen, zur Gefahrenabwehr in Eilfällen unmittelbar die zuständigen Behörden zu informieren, wird im Gesetz unmissverständlich klargestellt. Zudem wird eine eindeutige und umfassende gesetzliche Grundlage für die Zusammenarbeit mit Polizei und anderen Verwaltungsbehörden im Rahmen runder Tische geschaffen.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prüfen, wie kindliche Zeuginnen und Zeugen in Verfahren wegen sexuellen Missbrauchs außerhalb des Gerichtssaals durch die Vorsitzende oder den Vorsitzenden vernommen und diese Vernehmung in den Sitzungssaal übertragen werden kann. </w:t>
      </w:r>
    </w:p>
    <w:p w:rsidR="00F84234" w:rsidRDefault="00F84234" w:rsidP="00F84234">
      <w:pPr>
        <w:spacing w:after="0" w:line="240" w:lineRule="auto"/>
        <w:contextualSpacing/>
        <w:jc w:val="both"/>
        <w:rPr>
          <w:rFonts w:ascii="Arial" w:hAnsi="Arial" w:cs="Arial"/>
          <w:sz w:val="24"/>
          <w:szCs w:val="24"/>
        </w:rPr>
      </w:pPr>
      <w:r>
        <w:rPr>
          <w:rFonts w:ascii="Arial" w:hAnsi="Arial" w:cs="Arial"/>
          <w:sz w:val="24"/>
          <w:szCs w:val="24"/>
        </w:rPr>
        <w:lastRenderedPageBreak/>
        <w:t xml:space="preserve">Die Schutzlücken des § 201a Strafgesetzbuch (StGB) hinsichtlich bloßstellender Bildaufnahmen (Herstellung und Verbreitung) von verstorbenen Personen werden wir schließen. Wir erweitern den veralteten Schriftenbegriff in § 11 Abs. 3 StGB hin zu einem modernen Medienbegriff. </w:t>
      </w:r>
    </w:p>
    <w:p w:rsidR="00F84234" w:rsidRDefault="00F84234" w:rsidP="00F84234">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 xml:space="preserve">Rechtsfolgen der Digitalisierung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uns für eine europäische Harmonisierung der Regelungen über die grenzüberschreitende Sitzverlegung von Kapitalgesellschaften („Sitzverlegungs-Richtlinie“) und die Europäische Privatgesellschaft (SPE) unter Wahrung der Rechte der Arbeitnehmerinnen und Arbeitnehmer einschließlich der Unternehmensmitbestimmung, der Gläubiger und der Minderheitsgesellschafter ein.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Bei Onlineregistrierungen von Gesellschaften setzen wir uns – auch auf europäischer Ebene – für effektive präventive Kontrollen und zuverlässige Identitätsprüfungen ein, um die Richtigkeit der Eintragungen und den Vertrauensschutz öffentlicher Register zu gewährleisten; einfache Online-Anmeldungen lehnen wir ab.</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bookmarkStart w:id="60" w:name="_Hlk505182405"/>
      <w:r>
        <w:rPr>
          <w:rFonts w:ascii="Arial" w:hAnsi="Arial" w:cs="Arial"/>
          <w:sz w:val="24"/>
          <w:szCs w:val="24"/>
        </w:rPr>
        <w:t>Wir werden das Personengesellschaftsrecht reformieren und an die Anforderungen eines modernen, vielfältigen Wirtschaftslebens anpassen; wir werden eine Expertenkommission einsetzen, die gesetzliche Vorschläge für eine grundlegende Reform erarbeitet.</w:t>
      </w:r>
    </w:p>
    <w:p w:rsidR="007F452D" w:rsidRDefault="007F452D">
      <w:pPr>
        <w:spacing w:after="0" w:line="240" w:lineRule="auto"/>
        <w:contextualSpacing/>
        <w:jc w:val="both"/>
        <w:rPr>
          <w:rFonts w:ascii="Arial" w:hAnsi="Arial" w:cs="Arial"/>
          <w:sz w:val="24"/>
          <w:szCs w:val="24"/>
        </w:rPr>
      </w:pPr>
    </w:p>
    <w:bookmarkEnd w:id="60"/>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aktienrechtlichen Beschlussmängelrecht werden wir im Interesse des Minderheitenschutzes und der Rechtssicherheit Brüche und Wertungswidersprüche beseitigen. Ferner werden wir das langwierige und teure Spruchverfahren unter besonderer Berücksichtigung der Interessen von Minderheitsaktionärinnen und -aktionären sowie Kleinanlegerinnen und -anlegern evaluieren. Wir prüfen, ob zur Erleichterung von Forschungskooperationen eine neue Rechtsform für diese Art der Zusammenarbeit eingeführt werden sollte.</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Vererbbarkeit des digitalen Eigentums (z. B. Nutzer Accounts, Datenbestände) rechtssicher gesetzlich regeln.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Das Netzwerkdurchsetzungsgesetz ist ein richtiger und wichtiger Schritt zur Bekämpfung von Hasskriminalität und strafbaren Äußerungen in sozialen Netzwerken. Wir werden auch weiterhin den Schutz der Meinungsfreiheit sowie der Persönlichkeitsrechte der Opfer von Hasskriminalität und strafbaren Äußerungen sicherstellen. Die Berichte, zu denen die Plattformbetreiber verpflichtet sind, werden wir sorgfältig auswerten und zum Anlass nehmen, um das Netzwerkdurchsetzungsgesetz insbesondere im Hinblick auf die freiwillige Selbstregulierung weiterzuentwickeln.</w:t>
      </w:r>
    </w:p>
    <w:p w:rsidR="007F452D" w:rsidRDefault="007F452D">
      <w:pPr>
        <w:spacing w:after="0" w:line="240" w:lineRule="auto"/>
        <w:contextualSpacing/>
        <w:jc w:val="both"/>
        <w:rPr>
          <w:rFonts w:ascii="Arial" w:hAnsi="Arial" w:cs="Arial"/>
          <w:sz w:val="24"/>
          <w:szCs w:val="24"/>
        </w:rPr>
      </w:pPr>
    </w:p>
    <w:p w:rsidR="007F452D" w:rsidRDefault="006007DF">
      <w:pPr>
        <w:pStyle w:val="Listenabsatz"/>
        <w:spacing w:after="0" w:line="240" w:lineRule="auto"/>
        <w:ind w:left="0"/>
        <w:jc w:val="both"/>
        <w:rPr>
          <w:rFonts w:ascii="Arial" w:hAnsi="Arial" w:cs="Arial"/>
          <w:sz w:val="24"/>
          <w:szCs w:val="24"/>
        </w:rPr>
      </w:pPr>
      <w:r>
        <w:rPr>
          <w:rFonts w:ascii="Arial" w:hAnsi="Arial" w:cs="Arial"/>
          <w:sz w:val="24"/>
          <w:szCs w:val="24"/>
        </w:rPr>
        <w:t xml:space="preserve">Wir werden das AGB-Recht für Verträge zwischen Unternehmen auf den Prüfstand stellen mit dem Ziel, die Rechtssicherheit für innovative Geschäftsmodelle zu verbessern. Kleine und mittelständische Unternehmen, die Vertragsbedingungen ihres Vertragspartners aufgrund der wirtschaftlichen Kräfteverhältnisse faktisch akzeptieren müssen, sollen im bisherigen Umfang durch das AGB-Recht geschützt bleiben. Sozialen Netzwerken kommt eine immer größere Bedeutung in unserer Gesellschaft zu, sie behalten sich aber einseitig alle Rechte und Nutzungseinschränkungen vor. Wir wollen die vertraglichen Rechte der Nutzer stärken, z. B. gegen unberechtigte Löschungen und Sperrungen. Im Insolvenzrecht werden wir den Grundsatz der Gleichbehandlung aller Gläubiger ohne Einschränkung bewahren. Wir werden gesetzliche </w:t>
      </w:r>
      <w:r>
        <w:rPr>
          <w:rFonts w:ascii="Arial" w:hAnsi="Arial" w:cs="Arial"/>
          <w:sz w:val="24"/>
          <w:szCs w:val="24"/>
        </w:rPr>
        <w:lastRenderedPageBreak/>
        <w:t>Rahmenbedingungen für die Berufszulassung und -ausübung von Insolvenzverwalterinnen und Insolvenzverwaltern sowie Sachwalterinnen und Sachwaltern regeln, um im Interesse der Verfahrensbeteiligten eine qualifizierte und zuverlässige Wahrnehmung der Aufgaben sowie effektive Aufsicht zu gewährleisten. Zudem werden wir die Digitalisierung des Insolvenzverfahrens konsequent vorantreiben.</w:t>
      </w:r>
    </w:p>
    <w:p w:rsidR="007F452D" w:rsidRDefault="007F452D">
      <w:pPr>
        <w:pStyle w:val="Listenabsatz"/>
        <w:spacing w:after="0" w:line="240" w:lineRule="auto"/>
        <w:ind w:left="0"/>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Zur Stärkung des Wirtschafts- und Forschungsstandorts Deutschland wollen wir die Rechte des Lizenznehmers im Insolvenzfall des Lizenzgebers besser schützen.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Insolvenzantragspflichten im Lichte der europäischen Vorgaben zum Restrukturierungs- und Insolvenzrecht sowie unter Berücksichtigung der besonderen Bedingungen bei Naturkatastrophen reformieren.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eastAsia="Arial" w:cs="Arial"/>
          <w:szCs w:val="24"/>
        </w:rPr>
      </w:pPr>
      <w:r>
        <w:rPr>
          <w:rFonts w:cs="Arial"/>
          <w:szCs w:val="24"/>
        </w:rPr>
        <w:t>Urheberrecht</w:t>
      </w:r>
    </w:p>
    <w:p w:rsidR="007F452D" w:rsidRDefault="006007DF">
      <w:pPr>
        <w:pStyle w:val="TextA"/>
        <w:spacing w:after="0" w:line="240" w:lineRule="auto"/>
        <w:contextualSpacing/>
        <w:jc w:val="both"/>
        <w:rPr>
          <w:rFonts w:ascii="Arial" w:hAnsi="Arial" w:cs="Arial"/>
          <w:color w:val="auto"/>
          <w:sz w:val="24"/>
          <w:szCs w:val="24"/>
        </w:rPr>
      </w:pPr>
      <w:r>
        <w:rPr>
          <w:rFonts w:ascii="Arial" w:hAnsi="Arial" w:cs="Arial"/>
          <w:color w:val="auto"/>
          <w:sz w:val="24"/>
          <w:szCs w:val="24"/>
        </w:rPr>
        <w:t>Im Urheberrecht unterstützen wir nachdrücklich eine zeitnahe Regelung zur Verlegerbeteiligung bei den Verwertungsgesellschaften und stärken die Position der Verleger auf europäischer Ebene durch eine eigene Rechtsposition. Wir werden die Rechtsposition der Urheberinnen und Urheber stärken und uns hierbei für einen gerechten Interessenausgleich zwischen Kreativen und den Unternehmen der Kulturwirtschaft, Plattformen und Nutzern einsetzen. Zudem wollen wir die Stellung von Rechteinhabern gegenüber Internetprovidern verbessern, die sich an der öffentlichen Zugänglichmachung von Werken beteiligen. Den Vertrag von Marrakesch zugunsten blinder und sehbehinderter Menschen setzen wir zügig um.</w:t>
      </w:r>
    </w:p>
    <w:p w:rsidR="007F452D" w:rsidRDefault="007F452D">
      <w:pPr>
        <w:pStyle w:val="TextA"/>
        <w:spacing w:after="0" w:line="240" w:lineRule="auto"/>
        <w:contextualSpacing/>
        <w:jc w:val="both"/>
        <w:rPr>
          <w:rFonts w:ascii="Arial" w:eastAsia="Arial" w:hAnsi="Arial" w:cs="Arial"/>
          <w:color w:val="auto"/>
          <w:sz w:val="24"/>
          <w:szCs w:val="24"/>
        </w:rPr>
      </w:pPr>
    </w:p>
    <w:p w:rsidR="007F452D" w:rsidRDefault="006007DF">
      <w:pPr>
        <w:pStyle w:val="TextA"/>
        <w:spacing w:after="0" w:line="240" w:lineRule="auto"/>
        <w:contextualSpacing/>
        <w:jc w:val="both"/>
        <w:rPr>
          <w:rFonts w:ascii="Arial" w:hAnsi="Arial" w:cs="Arial"/>
          <w:color w:val="auto"/>
          <w:sz w:val="24"/>
          <w:szCs w:val="24"/>
        </w:rPr>
      </w:pPr>
      <w:r>
        <w:rPr>
          <w:rFonts w:ascii="Arial" w:hAnsi="Arial" w:cs="Arial"/>
          <w:color w:val="auto"/>
          <w:sz w:val="24"/>
          <w:szCs w:val="24"/>
        </w:rPr>
        <w:t>Wir wollen das System der Vergütung für gesetzlich erlaubte Nutzungen auf eine neue Grundlage stellen, indem moderne Nutzungsformen einbezogen werden und die an Urheberinnen und Urheber sowie Leistungsschutzberechtigte zu zahlende angemessene Vergütung effizient, berechenbar und zeitnah bestimmt wird. Wo immer möglich soll die Vergütung direkt bei der nutzenden Einrichtung erhoben werden. Wir streben an, das gegenwärtig zeitaufwändige Schiedsstellenverfahren in einen schnelleren Entscheidungsprozess zu überführen.</w:t>
      </w:r>
    </w:p>
    <w:p w:rsidR="007F452D" w:rsidRDefault="007F452D">
      <w:pPr>
        <w:pStyle w:val="TextA"/>
        <w:spacing w:after="0" w:line="240" w:lineRule="auto"/>
        <w:contextualSpacing/>
        <w:jc w:val="both"/>
        <w:rPr>
          <w:rFonts w:ascii="Arial" w:eastAsia="Arial" w:hAnsi="Arial" w:cs="Arial"/>
          <w:color w:val="auto"/>
          <w:sz w:val="24"/>
          <w:szCs w:val="24"/>
        </w:rPr>
      </w:pPr>
    </w:p>
    <w:p w:rsidR="007F452D" w:rsidRDefault="006007DF">
      <w:pPr>
        <w:pStyle w:val="TextA"/>
        <w:spacing w:after="0" w:line="240" w:lineRule="auto"/>
        <w:contextualSpacing/>
        <w:jc w:val="both"/>
        <w:rPr>
          <w:rFonts w:ascii="Arial" w:hAnsi="Arial" w:cs="Arial"/>
          <w:color w:val="auto"/>
          <w:sz w:val="24"/>
          <w:szCs w:val="24"/>
        </w:rPr>
      </w:pPr>
      <w:r>
        <w:rPr>
          <w:rFonts w:ascii="Arial" w:hAnsi="Arial" w:cs="Arial"/>
          <w:color w:val="auto"/>
          <w:sz w:val="24"/>
          <w:szCs w:val="24"/>
        </w:rPr>
        <w:t>Wir greifen den Wunsch des Deutschen Bundestages auf und werden einen strukturierten Dialog führen, wie möglichst rasch innerhalb der nächsten fünf Jahre der Zugang zu wissenschaftlichen Publikationen im Interesse aller Beteiligten – der Autorinnen und Autoren, der vielfältigen deutschen Verlagslandschaft und der nutzenden Wissenschaft – über eine Lizenzierungsplattform praktisch verbessert werden kann.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Familien- und Abstammungsrecht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Hinblick auf die zunehmenden Möglichkeiten der Reproduktionsmedizin und Veränderungen in der Gesellschaft werden wir Anpassungen des Abstammungsrechts unter Berücksichtigung der Empfehlungen des Arbeitskreises Abstammungsrecht prüfen.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unter Berücksichtigung europäischer und internationaler Vorgaben prüfen, ob sich das anwendbare Recht insbesondere im Bereich des Familienrechts stärker nach dem gewöhnlichen Aufenthalt der Beteiligten bestimmen sollte.</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Zumeist wollen beide Elternteile nach Trennung und Scheidung intensiv in die Erziehungsverantwortung für ihre Kinder eingebunden bleiben. Dies wollen wir bei Umgang und Unterhalt stärker berücksichtigen, </w:t>
      </w:r>
      <w:r>
        <w:rPr>
          <w:rFonts w:ascii="Arial" w:hAnsi="Arial" w:cs="Arial"/>
          <w:iCs/>
          <w:sz w:val="24"/>
          <w:szCs w:val="24"/>
        </w:rPr>
        <w:t>wenn die Eltern sich einig sind oder Gründe des Kindeswohls vorliegen</w:t>
      </w:r>
      <w:r>
        <w:rPr>
          <w:rFonts w:ascii="Arial" w:hAnsi="Arial" w:cs="Arial"/>
          <w:sz w:val="24"/>
          <w:szCs w:val="24"/>
        </w:rPr>
        <w:t xml:space="preserve">. Dabei muss das Kindeswohl stets im Mittelpunkt </w:t>
      </w:r>
      <w:r>
        <w:rPr>
          <w:rFonts w:ascii="Arial" w:hAnsi="Arial" w:cs="Arial"/>
          <w:sz w:val="24"/>
          <w:szCs w:val="24"/>
        </w:rPr>
        <w:lastRenderedPageBreak/>
        <w:t>stehen. Wir prüfen, inwieweit Unterhaltsbedarf und Selbstbehalt verbindlich geregelt werden könnten.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befürworten Fortbildungen für Richterinnen und Richter insbesondere an Familiengerichten und streben verbindliche Regelungen in Abstimmung mit den Ländern an. Wir wollen Ehepartnern ermöglichen, im Betreuungsfall füreinander Entscheidungen über medizinische Behandlungen zu treffen, ohne dass es hierfür der Bestellung einer Betreuerin bzw. eines Betreuers oder der Erteilung einer Vorsorgevollmacht bedarf.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Betreuungsrecht und Selbstbestimmung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das Vormundschaftsrecht modernisieren und das Betreuungsrecht unter Berücksichtigung der Ergebnisse der jüngst durchgeführten Forschungsvorhaben in struktureller Hinsicht verbessern. Im Einzelnen wollen wir den Vorrang sozialrechtlicher Hilfen vor rechtlicher Betreuung, die Qualität der Betreuung sowie Auswahl und Kontrolle von Betreuerinnen und Betreuern, das Selbstbestimmungsrecht der Betroffenen („Unterstützen vor Vertreten“), sowie die Finanzierung der unverzichtbaren Arbeit der Betreuungsvereine in Zusammenarbeit mit den Ländern stärken. Für eine angemessene Vergütung der Berufsbetreuerinnen und -betreuer wollen wir ebenfalls zeitnah Sorge tragen.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Gleichberechtigung und Vielfalt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erforderlichen Anpassungen und Ergänzungen, die sich durch die Öffnung der Ehe für Personen gleichen Geschlechts ergeben, zügig vornehmen.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Menschen sollen unabhängig von ihrer sexuellen Identität frei und sicher leben können – mit gleichen Rechten und Pflichten.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Arbeit der Bundesstiftung Magnus Hirschfeld ist für die Förderung der Akzeptanz sexueller und geschlechtlicher Vielfalt in Deutschland unverzichtbar. Wir wollen die Bundesstiftung daher weiterhin über eine institutionelle Förderung in ihrer Aufgabenwahrnehmung absichern.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Illegale Paralleljustiz werden wir nicht dulden.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5"/>
        </w:numPr>
        <w:contextualSpacing/>
        <w:rPr>
          <w:szCs w:val="24"/>
        </w:rPr>
      </w:pPr>
      <w:bookmarkStart w:id="61" w:name="_Toc505767184"/>
      <w:r>
        <w:rPr>
          <w:szCs w:val="24"/>
        </w:rPr>
        <w:t>Prävention</w:t>
      </w:r>
      <w:bookmarkEnd w:id="61"/>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betonen die Bedeutung der sozialwissenschaftlichen und kriminologischen Sicherheitsforschung, u. a. die hohe Relevanz von Dunkelfeldstudien und anderer empirischer Forschung z. B. zu </w:t>
      </w:r>
      <w:r w:rsidR="00FA6302">
        <w:rPr>
          <w:rFonts w:ascii="Arial" w:hAnsi="Arial" w:cs="Arial"/>
          <w:sz w:val="24"/>
          <w:szCs w:val="24"/>
        </w:rPr>
        <w:t xml:space="preserve">Organisierter </w:t>
      </w:r>
      <w:r>
        <w:rPr>
          <w:rFonts w:ascii="Arial" w:hAnsi="Arial" w:cs="Arial"/>
          <w:sz w:val="24"/>
          <w:szCs w:val="24"/>
        </w:rPr>
        <w:t>Kriminalität, und wollen diese wissenschaftlichen Bereiche beim Bundeskriminalamt und in der wissenschaftlichen Forschung durch Universitäten und Dritte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treten für eine </w:t>
      </w:r>
      <w:r>
        <w:rPr>
          <w:rFonts w:ascii="Arial" w:hAnsi="Arial" w:cs="Arial"/>
          <w:bCs/>
          <w:sz w:val="24"/>
          <w:szCs w:val="24"/>
        </w:rPr>
        <w:t>evidenzbasierte Kriminalpolitik</w:t>
      </w:r>
      <w:r>
        <w:rPr>
          <w:rFonts w:ascii="Arial" w:hAnsi="Arial" w:cs="Arial"/>
          <w:sz w:val="24"/>
          <w:szCs w:val="24"/>
        </w:rPr>
        <w:t xml:space="preserve"> ein. Wir wollen, dass kriminologische Evidenzen sowohl bei der Erarbeitung von Gesetzentwürfen als auch bei deren Evaluation berücksichtigt werden. Wir unterstützen das unabhängige Deutsche Forum für Kriminalprävention. Um ein Gesamtbild der langfristigen Kriminalitätsentwicklung zu bekommen, streben wir eine zügige Aktualisierung des </w:t>
      </w:r>
      <w:r>
        <w:rPr>
          <w:rFonts w:ascii="Arial" w:hAnsi="Arial" w:cs="Arial"/>
          <w:bCs/>
          <w:sz w:val="24"/>
          <w:szCs w:val="24"/>
        </w:rPr>
        <w:t>Periodischen Sicherheitsberichts</w:t>
      </w:r>
      <w:r>
        <w:rPr>
          <w:rFonts w:ascii="Arial" w:hAnsi="Arial" w:cs="Arial"/>
          <w:sz w:val="24"/>
          <w:szCs w:val="24"/>
        </w:rPr>
        <w:t xml:space="preserve"> an. Um die Aussagekraft der </w:t>
      </w:r>
      <w:r>
        <w:rPr>
          <w:rFonts w:ascii="Arial" w:hAnsi="Arial" w:cs="Arial"/>
          <w:bCs/>
          <w:sz w:val="24"/>
          <w:szCs w:val="24"/>
        </w:rPr>
        <w:t>Strafrechtspflegestatistiken</w:t>
      </w:r>
      <w:r>
        <w:rPr>
          <w:rFonts w:ascii="Arial" w:hAnsi="Arial" w:cs="Arial"/>
          <w:sz w:val="24"/>
          <w:szCs w:val="24"/>
        </w:rPr>
        <w:t xml:space="preserve"> zu erhöhen, werden wir in Zusammenarbeit mit den Ländern ein Strafrechtspflegestatistikgesetz schaffen. Die Kriminal- und Strafrechtspflegestatistiken sollen langfristig zu einer </w:t>
      </w:r>
      <w:r>
        <w:rPr>
          <w:rFonts w:ascii="Arial" w:hAnsi="Arial" w:cs="Arial"/>
          <w:bCs/>
          <w:sz w:val="24"/>
          <w:szCs w:val="24"/>
        </w:rPr>
        <w:t>Ver</w:t>
      </w:r>
      <w:r>
        <w:rPr>
          <w:rFonts w:ascii="Arial" w:hAnsi="Arial" w:cs="Arial"/>
          <w:bCs/>
          <w:sz w:val="24"/>
          <w:szCs w:val="24"/>
        </w:rPr>
        <w:lastRenderedPageBreak/>
        <w:t>laufsstatistik</w:t>
      </w:r>
      <w:r>
        <w:rPr>
          <w:rFonts w:ascii="Arial" w:hAnsi="Arial" w:cs="Arial"/>
          <w:sz w:val="24"/>
          <w:szCs w:val="24"/>
        </w:rPr>
        <w:t xml:space="preserve"> zusammengeführt werden. Hierzu soll eine Machbarkeitsstudie in Auftrag gegeben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Gerade im weiter wachsenden Bereich des islamistischen Extremismus und Terrorismus wollen wir Prävention und Deradikalisierung weiter stärken, national und auf EU-Ebene.</w:t>
      </w:r>
    </w:p>
    <w:p w:rsidR="007F452D" w:rsidRDefault="007F452D">
      <w:pPr>
        <w:spacing w:after="0" w:line="240" w:lineRule="auto"/>
        <w:contextualSpacing/>
        <w:jc w:val="both"/>
        <w:rPr>
          <w:rFonts w:ascii="Arial" w:hAnsi="Arial" w:cs="Arial"/>
          <w:sz w:val="24"/>
          <w:szCs w:val="24"/>
        </w:rPr>
      </w:pPr>
    </w:p>
    <w:p w:rsidR="007F452D" w:rsidRDefault="006007DF">
      <w:pPr>
        <w:pStyle w:val="Finger"/>
        <w:contextualSpacing/>
      </w:pPr>
      <w:r>
        <w:t xml:space="preserve">Wir werden den radikalen Islam in Deutschland zurückdrängen. Wir erwarten, dass Imame aus dem Ausland Deutsch sprechen. Radikalisierte Moscheen werden wir beobachten und gegebenenfalls schließen. Hierzu werden wir die Praxis zwischen Bund und Ländern abstimmen. </w:t>
      </w:r>
    </w:p>
    <w:p w:rsidR="007F452D" w:rsidRDefault="007F452D">
      <w:pPr>
        <w:pStyle w:val="Finger"/>
        <w:contextualSpacing/>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stellen sicher, dass öffentliche Gelder des Bundes nicht an Einrichtungen und Initiativen vergeben werden, die verfassungsfeindliche Tendenzen aufweisen.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Deutsche Islam Konferenz fortsetzen. Die in dem Vertrag zwischen der Bundesrepublik Deutschland und dem Zentralrat der Juden in Deutschland vorgesehenen Staatsleistungen werden angepasst.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bekennen uns weiterhin zur besonderen Verpflichtung gegenüber den Deutschen in Mittelosteuropa und den Nachfolgestaaten der Sowjetunion, die als Aussiedler und Spätaussiedler zu uns kamen oder als deutsche Minderheiten in den Herkunftsgebieten leben. Wir wollen die nationalen Minderheiten in Deutschland und die deutschen Minderheiten in Dänemark, in Mittelost- und Südosteuropa und den Nachfolgestaaten der Sowjetunion weiter fördern. Wir wollen die Maßnahmen zum Erhalt des kulturellen Erbes der Heimatvertriebenen, der Aussiedler und der deutschen Minderheiten unter ihrer Einbeziehung – gegebenenfalls auch strukturell – weiterentwickeln.</w:t>
      </w:r>
    </w:p>
    <w:p w:rsidR="007F452D" w:rsidRDefault="007F452D">
      <w:pPr>
        <w:spacing w:after="0" w:line="240" w:lineRule="auto"/>
        <w:contextualSpacing/>
        <w:jc w:val="both"/>
        <w:rPr>
          <w:rFonts w:ascii="Arial" w:eastAsia="Times New Roman" w:hAnsi="Arial" w:cs="Arial"/>
          <w:bCs/>
          <w:sz w:val="24"/>
          <w:szCs w:val="24"/>
          <w:lang w:eastAsia="de-DE"/>
        </w:rPr>
      </w:pPr>
    </w:p>
    <w:p w:rsidR="007F452D" w:rsidRDefault="006007DF">
      <w:pPr>
        <w:pStyle w:val="berschrift2"/>
        <w:numPr>
          <w:ilvl w:val="1"/>
          <w:numId w:val="15"/>
        </w:numPr>
        <w:contextualSpacing/>
        <w:jc w:val="both"/>
        <w:rPr>
          <w:szCs w:val="24"/>
        </w:rPr>
      </w:pPr>
      <w:bookmarkStart w:id="62" w:name="_Toc505767185"/>
      <w:r>
        <w:rPr>
          <w:szCs w:val="24"/>
        </w:rPr>
        <w:t>Verbraucherschutz</w:t>
      </w:r>
      <w:bookmarkEnd w:id="62"/>
      <w:r>
        <w:rPr>
          <w:szCs w:val="24"/>
        </w:rPr>
        <w:t xml:space="preserve"> </w:t>
      </w:r>
    </w:p>
    <w:p w:rsidR="007F452D" w:rsidRDefault="006007DF">
      <w:pPr>
        <w:pStyle w:val="KeinLeerraum"/>
        <w:contextualSpacing/>
        <w:jc w:val="both"/>
        <w:rPr>
          <w:rFonts w:ascii="Arial" w:hAnsi="Arial" w:cs="Arial"/>
          <w:sz w:val="24"/>
          <w:szCs w:val="24"/>
        </w:rPr>
      </w:pPr>
      <w:r>
        <w:rPr>
          <w:rFonts w:ascii="Arial" w:hAnsi="Arial" w:cs="Arial"/>
          <w:sz w:val="24"/>
          <w:szCs w:val="24"/>
        </w:rPr>
        <w:t>Die Bundesregierung wird zur leichteren und schnelleren Auffindbarkeit von Verbraucherinformation und -beratung ein einheitliches bundesweites Portal Verbraucherlotse anbieten. Mit bestehenden Einrichtungen und Behörden wird kooperiert.</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Gemeinsam mit Bundesländern und ehrenamtlichen Akteurinnen und Akteuren wollen wir die Unterstützungsangebote für Verbraucherinnen und Verbraucher in ländlichen Räumen ausbauen und verbessern. Zudem werden wir die Initiative des „aufsuchenden Verbraucherschutzes“ im Rahmen des Projekts soziale Stadt weiterentwickeln.</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Die Grundversorger von Strom, Gas, Wärme und Wasser werden verpflichtet, säumigen Kundinnen und Kunden eine Versorgung auf Basis von Vorauszahlungen anzubieten, wenn die Kundin oder der Kunde Ratenzahlungen auf Altschulden leistet oder eine eidesstattliche Versicherung abgegeben hat.</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Wir werden die Verbraucherrechte bei ambulanten Pflegeverträgen stärken. Wir wollen eine bessere Kooperation von Unabhängiger Patientenberatung, Verbraucherzentralen und Stiftung Warentest.</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 xml:space="preserve">Vorfälligkeitsentschädigungen bei Immobilienkrediten müssen angemessen, nachvollziehbar und objektiv überprüfbar sein. </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lastRenderedPageBreak/>
        <w:t>Wir werden zur Herstellung einer einheitlichen und qualitativ hochwertigen Finanzaufsicht die Aufsicht über die freien Finanzanlagevermittler schrittweise auf die Bundesanstalt für Finanzdienstleistungsaufsicht übertragen. Dabei wollen wir sicherstellen, dass die dadurch bei den Ländern freiwerdenden Aufsichtskapazitäten zur Stärkung der Geldwäscheaufsicht im Nichtfinanzbereich verwendet werden.</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Wir wollen zum Schutz der Verbraucherinnen und Verbraucher Algorithmen- und KI-basierte Entscheidungen, Dienstleistungen und Produkte überprüfbar machen, insbesondere im Hinblick auf mögliche unzulässige Diskriminierungen, Benachteiligungen und Betrügereien. Wir werden Mechanismen entwickeln, um bei bedenklichen Entwicklungen tätig werden zu können.</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Dynamische Preisbildung muss Verbraucherinnen und Verbrauchern nach klaren Regeln transparent dargestellt werden.</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Wir wollen Anbieter digitaler Kommunikationssysteme mit hohem Verbreitungsgrad dazu verpflichten, den verlustfreien Wechsel in andere Systeme zu ermöglichen.</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Anbieter des öffentlichen Nah- und Fernverkehrs werden dazu verpflichtet, eine Schnittstelle für Portale bereitzustellen, die Information und Buchung integrierter Mobilität (wie z. B. Tickets) deutschlandweit ermöglicht. Diese soll auch anderen Anbietern offenstehen.</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Wir werden das Produktsicherheitsrecht novellieren, um die IT-Sicherheit in verbrauchernahen Produkten zu erhöhen. Dazu werden wir u. a. das Produkthaftungsrecht anpassen, Mindeststandards vorschreiben und die Einführung einer gewährleistungsähnlichen Herstellerhaftung prüfen. Darüber hinaus werden wir ein europaweit gültiges IT-Sicherheits-Gütesiegel etablieren.</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Auf Vermittlungs-, Buchungs- und Vergleichsplattformen wollen wir die Transparenz hinsichtlich ihrer Bewertungssysteme, der Gewichtung ihrer Ergebnisse, der Provisionen und Marktabdeckung sowie der Zusammenhänge zwischen Portalen und wirtschaftlichen Verflechtungen erhöhen. Verbraucherinnen und Verbraucher sollen besser vor gefälschten Bewertungen, Datenmissbrauch und elementaren Risiken abgesichert werden. Vermittlungsplattformen sollen den Nutzerinnen und Nutzern gegenüber transparent machen müssen, ob Angebote privat oder gewerblich sind.</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Die Verbraucherzentralen werden mit der Fortsetzung der Bereitstellung von Materialkompassen in den Bereichen Verbraucherschutz, Verbraucherbildung, digitale Kompetenzen und nachhaltiger Konsum für die Bildungscloud beauftragt.</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Fonts w:ascii="Arial" w:hAnsi="Arial" w:cs="Arial"/>
          <w:sz w:val="24"/>
          <w:szCs w:val="24"/>
        </w:rPr>
      </w:pPr>
      <w:r>
        <w:rPr>
          <w:rFonts w:ascii="Arial" w:hAnsi="Arial" w:cs="Arial"/>
          <w:sz w:val="24"/>
          <w:szCs w:val="24"/>
        </w:rPr>
        <w:t>Die Arbeit des Sachverständigenrats für Verbraucherfragen wird fortgesetzt, um relevante und praxisnahe Politikberatung sowie Impulse für die Verbraucherpolitik zu gewährleisten.</w:t>
      </w:r>
    </w:p>
    <w:p w:rsidR="007F452D" w:rsidRDefault="007F452D">
      <w:pPr>
        <w:pStyle w:val="KeinLeerraum"/>
        <w:contextualSpacing/>
        <w:jc w:val="both"/>
        <w:rPr>
          <w:rFonts w:ascii="Arial" w:hAnsi="Arial" w:cs="Arial"/>
          <w:sz w:val="24"/>
          <w:szCs w:val="24"/>
        </w:rPr>
      </w:pPr>
    </w:p>
    <w:p w:rsidR="007F452D" w:rsidRDefault="006007DF">
      <w:pPr>
        <w:pStyle w:val="KeinLeerraum"/>
        <w:contextualSpacing/>
        <w:jc w:val="both"/>
        <w:rPr>
          <w:rStyle w:val="xxt"/>
          <w:rFonts w:ascii="Arial" w:hAnsi="Arial" w:cs="Arial"/>
          <w:sz w:val="24"/>
          <w:szCs w:val="24"/>
        </w:rPr>
      </w:pPr>
      <w:r>
        <w:rPr>
          <w:rStyle w:val="xxt"/>
          <w:rFonts w:ascii="Arial" w:hAnsi="Arial" w:cs="Arial"/>
          <w:sz w:val="24"/>
          <w:szCs w:val="24"/>
        </w:rPr>
        <w:t xml:space="preserve">Wir wollen den Verbraucherschutz auch in der digitalen Welt sicherstellen. Gleiches Recht für alle muss durch Netzneutralität und diskriminierungsfreien Netzzugang gewährleistet werden. </w:t>
      </w:r>
    </w:p>
    <w:p w:rsidR="007F452D" w:rsidRDefault="007F452D">
      <w:pPr>
        <w:spacing w:after="0" w:line="240" w:lineRule="auto"/>
        <w:contextualSpacing/>
        <w:jc w:val="both"/>
        <w:rPr>
          <w:rFonts w:ascii="Arial" w:hAnsi="Arial" w:cs="Arial"/>
          <w:b/>
          <w:sz w:val="24"/>
          <w:szCs w:val="24"/>
        </w:rPr>
      </w:pPr>
    </w:p>
    <w:p w:rsidR="007F452D" w:rsidRDefault="006007DF">
      <w:pPr>
        <w:pStyle w:val="berschrift2"/>
        <w:numPr>
          <w:ilvl w:val="1"/>
          <w:numId w:val="15"/>
        </w:numPr>
        <w:contextualSpacing/>
        <w:rPr>
          <w:szCs w:val="24"/>
        </w:rPr>
      </w:pPr>
      <w:bookmarkStart w:id="63" w:name="_Toc505767186"/>
      <w:r>
        <w:rPr>
          <w:szCs w:val="24"/>
        </w:rPr>
        <w:lastRenderedPageBreak/>
        <w:t>Sport</w:t>
      </w:r>
      <w:bookmarkEnd w:id="63"/>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wissen um die überragende Bedeutung des Sports gerade für die Integration, die Inklusion und den sozialen Zusammenhalt in der Gesellschaft. Der Sport erhält aufgrund seiner gesellschaftlichen Kraft auch in Zukunft unsere Unterstützung, sowohl im Breiten- wie auch im Leistungssport.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beschlossene Reform zur Förderung des Leistungssports werden wir im Dialog mit allen Beteiligten umsetzen und wollen dafür deutlich mehr Mittel bereitstellen. Die Förderung und die Absicherung der Bedürfnisse der Athletinnen und Athleten, insbesondere im Hinblick auf die Altersversorgung und die Duale Karriere, sollten dabei besonders im Mittelpunkt stehen.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Der Aufbau und die Umsetzung einer langfristig angelegten Strategie für Sportgroßveranstaltungen, insbesondere olympische und paralympische Spiele sowie Universiaden, wird die Spitzensportreform begleiten. Hierfür wollen wir übergeordnete Leitlinien entwickeln. Darüber hinaus werden wir dem Modernisierungs- und Sanierungsstau in der Infrastruktur der Sportanlagen, die dem Spitzensport dienen, entgegenwirken. Insbesondere wollen wir uns stärker an den Unterhaltskosten der Spitzensportanlagen, die in kommunaler Trägerschaft liegen, beteiligen.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Zugleich setzen wir uns für eine insgesamt moderne und bedarfsgerechte Sportstätteninfrastruktur in Deutschland ein.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effektive Bekämpfung von Doping im Sport ist die Grundlage für die Zukunft und den Erfolg des Sports. Die wichtige Arbeit der Nationalen Anti Doping Agentur (NADA) wollen wir weiterhin unterstützen und fördern, sowohl von öffentlicher Seite als auch vom Sport selbst.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sind uns darin einig, Gewalt jeglicher Art bei und im Umfeld von Sportereignissen zu verurteilen und zu verfolgen. Der Bund wird sich in diesem Zusammenhang mit den Sportverbänden, den Ländern und anderen Akteuren für eine zielgerichtete Präventionsarbeit einsetzen. Die Integrität des Sports und seiner Spitzenorganisationen ist unabdingbare Voraussetzung für öffentliche Förderung. Darauf werden wir unter Achtung der Autonomie des Sports in seinem Interesse achten.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Sport leistet einen wichtigen gesamtgesellschaftlichen Beitrag, er verbindet Menschen mit und ohne Behinderung und trägt dazu bei, Barrieren und Vorurteile abzubauen. Bei jeder von Deutschland unterstützten Bewerbung um Austragung olympischer und paralympischer Spiele sowie anderer internationaler Sportveranstaltungen soll der paralympische Sport gleichberechtigt berücksichtigt und gefördert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Theme="majorEastAsia" w:hAnsi="Arial" w:cs="Arial"/>
          <w:b/>
          <w:bCs/>
          <w:sz w:val="24"/>
          <w:szCs w:val="24"/>
        </w:rPr>
      </w:pPr>
      <w:r>
        <w:rPr>
          <w:rFonts w:ascii="Arial" w:hAnsi="Arial" w:cs="Arial"/>
          <w:sz w:val="24"/>
          <w:szCs w:val="24"/>
        </w:rPr>
        <w:t>Neben der wichtigen Aufgabe des Breitensports werden wir die beschlossene Reform der Förderung des Leistungssports mit allen Beteiligten umsetzen und wollen dafür deutlich mehr Mittel bereitstellen.</w:t>
      </w:r>
      <w:r>
        <w:rPr>
          <w:rFonts w:ascii="Arial" w:hAnsi="Arial" w:cs="Arial"/>
          <w:sz w:val="24"/>
          <w:szCs w:val="24"/>
        </w:rPr>
        <w:br w:type="page"/>
      </w:r>
    </w:p>
    <w:p w:rsidR="007F452D" w:rsidRDefault="006007DF">
      <w:pPr>
        <w:pStyle w:val="berschrift1"/>
        <w:numPr>
          <w:ilvl w:val="0"/>
          <w:numId w:val="14"/>
        </w:numPr>
        <w:ind w:left="426" w:hanging="142"/>
        <w:contextualSpacing/>
      </w:pPr>
      <w:bookmarkStart w:id="64" w:name="_Toc505767187"/>
      <w:r>
        <w:lastRenderedPageBreak/>
        <w:t>Verantwortungsvoller Umgang mit unseren Ressourcen</w:t>
      </w:r>
      <w:bookmarkEnd w:id="64"/>
    </w:p>
    <w:p w:rsidR="007F452D" w:rsidRDefault="007F452D">
      <w:pPr>
        <w:pStyle w:val="Listenabsatz"/>
        <w:spacing w:after="0" w:line="240" w:lineRule="auto"/>
        <w:ind w:left="426" w:hanging="426"/>
        <w:jc w:val="both"/>
        <w:rPr>
          <w:rFonts w:ascii="Arial" w:hAnsi="Arial" w:cs="Arial"/>
          <w:sz w:val="24"/>
          <w:szCs w:val="24"/>
        </w:rPr>
      </w:pPr>
    </w:p>
    <w:p w:rsidR="007F452D" w:rsidRDefault="006007DF">
      <w:pPr>
        <w:pStyle w:val="berschrift2"/>
        <w:numPr>
          <w:ilvl w:val="1"/>
          <w:numId w:val="18"/>
        </w:numPr>
        <w:contextualSpacing/>
        <w:rPr>
          <w:szCs w:val="24"/>
        </w:rPr>
      </w:pPr>
      <w:bookmarkStart w:id="65" w:name="_Toc505767188"/>
      <w:r>
        <w:rPr>
          <w:szCs w:val="24"/>
        </w:rPr>
        <w:t>Umwelt und Klima</w:t>
      </w:r>
      <w:bookmarkEnd w:id="65"/>
      <w:r>
        <w:rPr>
          <w:szCs w:val="24"/>
        </w:rPr>
        <w:t xml:space="preserve"> </w:t>
      </w: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Wir wollen für unsere Kinder und Enkelkinder eine intakte Natur bewahren. Eine saubere Umwelt und der Schutz der Biodiversität sind unser Ziel. Dafür werden wir das Prinzip der Nachhaltigkeit umfassend beachten und wirksame Maßnahmen ergreifen, um den Artenschwund zu stoppen, die Landnutzung umweltgerechter zu gestalten, Wasser und Böden besser zu schützen, die Luft sauberer zu halten und unsere Ressourcen im Kreislauf zu führen.</w:t>
      </w:r>
    </w:p>
    <w:p w:rsidR="007F452D" w:rsidRDefault="007F452D">
      <w:pPr>
        <w:spacing w:after="0" w:line="240" w:lineRule="auto"/>
        <w:contextualSpacing/>
        <w:jc w:val="both"/>
        <w:rPr>
          <w:rFonts w:ascii="Arial" w:eastAsia="Arial" w:hAnsi="Arial" w:cs="Arial"/>
          <w:sz w:val="24"/>
          <w:szCs w:val="24"/>
        </w:rPr>
      </w:pPr>
    </w:p>
    <w:p w:rsidR="007F452D" w:rsidRDefault="006007DF">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Wir stehen für eine Umwelt- und Klimapolitik, die die Bewahrung der Schöpfung und den Schutz natürlicher Ressourcen mit wirtschaftlichem Erfolg und sozialer Verantwortung erfolgreich verbindet. Wir treten für eine effiziente, technologieoffene und innovationsfördernde Umweltpolitik ein, die wir gemeinsam mit den gesellschaftlichen Partnern gestalten. EU-Recht setzen wir 1:1 um. </w:t>
      </w:r>
    </w:p>
    <w:p w:rsidR="007F452D" w:rsidRDefault="007F452D">
      <w:pPr>
        <w:spacing w:after="0" w:line="240" w:lineRule="auto"/>
        <w:contextualSpacing/>
        <w:jc w:val="both"/>
        <w:rPr>
          <w:rFonts w:ascii="Arial" w:eastAsia="Arial" w:hAnsi="Arial" w:cs="Arial"/>
          <w:strike/>
          <w:sz w:val="24"/>
          <w:szCs w:val="24"/>
        </w:rPr>
      </w:pPr>
    </w:p>
    <w:p w:rsidR="007F452D" w:rsidRDefault="006007DF">
      <w:pPr>
        <w:spacing w:after="0" w:line="240" w:lineRule="auto"/>
        <w:contextualSpacing/>
        <w:jc w:val="both"/>
        <w:rPr>
          <w:rFonts w:ascii="Arial" w:eastAsia="Arial" w:hAnsi="Arial" w:cs="Arial"/>
          <w:strike/>
          <w:sz w:val="24"/>
          <w:szCs w:val="24"/>
        </w:rPr>
      </w:pPr>
      <w:r>
        <w:rPr>
          <w:rFonts w:ascii="Arial" w:eastAsia="Arial" w:hAnsi="Arial" w:cs="Arial"/>
          <w:sz w:val="24"/>
          <w:szCs w:val="24"/>
        </w:rPr>
        <w:t>Wir werden zeigen, dass anspruchsvoller Klimaschutz, wirtschaftliche Prosperität und sozialer Ausgleich erfolgreich vereinbar sind. Mit dem weiteren Ausbau der Erneuerbaren Energien und dem bereits weit fortgeschrittenen Ausstieg aus der Kernenergie haben wir wichtige Grundlagen für die Zukunft gelegt. Wir werden nun ein neues integriertes Energiesystem schaffen aus Erneuerbaren, Energieeffizienz, einem beschleunigten Ausbau der Stromnetze, einer schrittweisen Reduzierung</w:t>
      </w:r>
      <w:r>
        <w:rPr>
          <w:rFonts w:ascii="Arial" w:eastAsia="Arial" w:hAnsi="Arial" w:cs="Arial"/>
          <w:b/>
          <w:sz w:val="24"/>
          <w:szCs w:val="24"/>
        </w:rPr>
        <w:t xml:space="preserve"> </w:t>
      </w:r>
      <w:r>
        <w:rPr>
          <w:rFonts w:ascii="Arial" w:eastAsia="Arial" w:hAnsi="Arial" w:cs="Arial"/>
          <w:sz w:val="24"/>
          <w:szCs w:val="24"/>
        </w:rPr>
        <w:t>der Stromerzeugung aus</w:t>
      </w:r>
      <w:r>
        <w:rPr>
          <w:rFonts w:ascii="Arial" w:eastAsia="Arial" w:hAnsi="Arial" w:cs="Arial"/>
          <w:b/>
          <w:sz w:val="24"/>
          <w:szCs w:val="24"/>
        </w:rPr>
        <w:t xml:space="preserve"> </w:t>
      </w:r>
      <w:r>
        <w:rPr>
          <w:rFonts w:ascii="Arial" w:eastAsia="Arial" w:hAnsi="Arial" w:cs="Arial"/>
          <w:sz w:val="24"/>
          <w:szCs w:val="24"/>
        </w:rPr>
        <w:t>fossilen Energieträgern</w:t>
      </w:r>
      <w:r>
        <w:rPr>
          <w:rFonts w:ascii="Arial" w:eastAsia="Arial" w:hAnsi="Arial" w:cs="Arial"/>
          <w:b/>
          <w:sz w:val="24"/>
          <w:szCs w:val="24"/>
        </w:rPr>
        <w:t xml:space="preserve"> </w:t>
      </w:r>
      <w:r>
        <w:rPr>
          <w:rFonts w:ascii="Arial" w:eastAsia="Arial" w:hAnsi="Arial" w:cs="Arial"/>
          <w:sz w:val="24"/>
          <w:szCs w:val="24"/>
        </w:rPr>
        <w:t>und einer forcierten</w:t>
      </w:r>
      <w:r>
        <w:rPr>
          <w:rFonts w:ascii="Arial" w:eastAsia="Arial" w:hAnsi="Arial" w:cs="Arial"/>
          <w:b/>
          <w:sz w:val="24"/>
          <w:szCs w:val="24"/>
        </w:rPr>
        <w:t xml:space="preserve"> </w:t>
      </w:r>
      <w:r>
        <w:rPr>
          <w:rFonts w:ascii="Arial" w:eastAsia="Arial" w:hAnsi="Arial" w:cs="Arial"/>
          <w:sz w:val="24"/>
          <w:szCs w:val="24"/>
        </w:rPr>
        <w:t xml:space="preserve">Nutzung der Digitalisierung. Klima- und Umweltverträglichkeit, Versorgungssicherheit und Bezahlbarkeit sind die Eckpfeiler dieser Energiepolitik. Die Wahrung der Wettbewerbsfähigkeit unseres Wirtschaftsstandortes ist Grundbedingung einer erfolgreichen Energiewende und dafür, dass sie auch international zum Erfolgsmodell wird. </w:t>
      </w:r>
    </w:p>
    <w:p w:rsidR="007F452D" w:rsidRDefault="007F452D">
      <w:pPr>
        <w:spacing w:after="0" w:line="240" w:lineRule="auto"/>
        <w:contextualSpacing/>
        <w:jc w:val="both"/>
        <w:rPr>
          <w:rFonts w:ascii="Arial" w:eastAsia="Cambria" w:hAnsi="Arial" w:cs="Arial"/>
          <w:sz w:val="24"/>
          <w:szCs w:val="24"/>
        </w:rPr>
      </w:pPr>
    </w:p>
    <w:p w:rsidR="007F452D" w:rsidRDefault="006007DF">
      <w:pPr>
        <w:pStyle w:val="berschrift3"/>
        <w:contextualSpacing/>
        <w:rPr>
          <w:rFonts w:cs="Arial"/>
          <w:szCs w:val="24"/>
        </w:rPr>
      </w:pPr>
      <w:r>
        <w:rPr>
          <w:rFonts w:cs="Arial"/>
          <w:szCs w:val="24"/>
        </w:rPr>
        <w:t>Umwelt</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Umweltschutz ist Teil einer umfassenden Nachhaltigkeitspolitik.</w:t>
      </w:r>
    </w:p>
    <w:p w:rsidR="007F452D" w:rsidRDefault="007F452D">
      <w:pPr>
        <w:spacing w:after="0" w:line="240" w:lineRule="auto"/>
        <w:contextualSpacing/>
        <w:jc w:val="both"/>
        <w:rPr>
          <w:rFonts w:ascii="Arial" w:eastAsia="Cambria" w:hAnsi="Arial" w:cs="Arial"/>
          <w:sz w:val="24"/>
          <w:szCs w:val="24"/>
        </w:rPr>
      </w:pP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Die Umsetzung der Agenda 2030 und die Förderung einer nachhaltigen Entwicklung sind Maßstab des Regierungshandelns. Die nationale Nachhaltigkeitsstrategie wollen wir kontinuierlich und ambitioniert weiterentwickeln.</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 </w:t>
      </w:r>
    </w:p>
    <w:p w:rsidR="007F452D" w:rsidRDefault="006007DF">
      <w:pPr>
        <w:spacing w:after="0" w:line="240" w:lineRule="auto"/>
        <w:contextualSpacing/>
        <w:jc w:val="both"/>
        <w:rPr>
          <w:rFonts w:ascii="Arial" w:eastAsia="Cambria" w:hAnsi="Arial" w:cs="Arial"/>
          <w:strike/>
          <w:sz w:val="24"/>
          <w:szCs w:val="24"/>
        </w:rPr>
      </w:pPr>
      <w:r>
        <w:rPr>
          <w:rFonts w:ascii="Arial" w:eastAsia="Cambria" w:hAnsi="Arial" w:cs="Arial"/>
          <w:sz w:val="24"/>
          <w:szCs w:val="24"/>
        </w:rPr>
        <w:t xml:space="preserve">Wir wollen das Nationale Programm für nachhaltigen Konsum weiterentwickeln sowie das „Kompetenzzentrum Nachhaltiger Konsum“ weiter stärken. Wir werden auf die Stärkung der ökologischen Standards in der EU-Öko-Design-Richtlinie hinwirken. </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 </w:t>
      </w:r>
    </w:p>
    <w:p w:rsidR="007F452D" w:rsidRDefault="006007DF">
      <w:pPr>
        <w:spacing w:after="0" w:line="240" w:lineRule="auto"/>
        <w:contextualSpacing/>
        <w:jc w:val="both"/>
        <w:rPr>
          <w:rFonts w:ascii="Arial" w:eastAsia="Cambria" w:hAnsi="Arial" w:cs="Arial"/>
          <w:strike/>
          <w:sz w:val="24"/>
          <w:szCs w:val="24"/>
        </w:rPr>
      </w:pPr>
      <w:r>
        <w:rPr>
          <w:rFonts w:ascii="Arial" w:eastAsia="Cambria" w:hAnsi="Arial" w:cs="Arial"/>
          <w:sz w:val="24"/>
          <w:szCs w:val="24"/>
        </w:rPr>
        <w:t>Um der Vorbildwirkung der öffentlichen Verwaltung gerecht zu werden, soll die Bundesregierung ihr „Maßnahmenprogramm Nachhaltigkeit“ umsetzen und weiterentwickeln.</w:t>
      </w:r>
      <w:r>
        <w:rPr>
          <w:rFonts w:ascii="Arial" w:eastAsia="Cambria" w:hAnsi="Arial" w:cs="Arial"/>
          <w:strike/>
          <w:sz w:val="24"/>
          <w:szCs w:val="24"/>
        </w:rPr>
        <w:t xml:space="preserve"> </w:t>
      </w:r>
    </w:p>
    <w:p w:rsidR="007F452D" w:rsidRDefault="007F452D">
      <w:pPr>
        <w:spacing w:after="0" w:line="240" w:lineRule="auto"/>
        <w:contextualSpacing/>
        <w:jc w:val="both"/>
        <w:rPr>
          <w:rFonts w:ascii="Arial" w:eastAsia="Cambria" w:hAnsi="Arial" w:cs="Arial"/>
          <w:sz w:val="24"/>
          <w:szCs w:val="24"/>
        </w:rPr>
      </w:pPr>
    </w:p>
    <w:p w:rsidR="007F452D" w:rsidRDefault="006007DF">
      <w:pPr>
        <w:autoSpaceDE w:val="0"/>
        <w:autoSpaceDN w:val="0"/>
        <w:adjustRightInd w:val="0"/>
        <w:spacing w:after="0" w:line="240" w:lineRule="auto"/>
        <w:contextualSpacing/>
        <w:jc w:val="both"/>
        <w:rPr>
          <w:rFonts w:ascii="Arial" w:eastAsia="Cambria" w:hAnsi="Arial" w:cs="Arial"/>
          <w:sz w:val="24"/>
          <w:szCs w:val="24"/>
        </w:rPr>
      </w:pPr>
      <w:r>
        <w:rPr>
          <w:rFonts w:ascii="Arial" w:eastAsia="Cambria" w:hAnsi="Arial" w:cs="Arial"/>
          <w:sz w:val="24"/>
          <w:szCs w:val="24"/>
        </w:rPr>
        <w:t>Wir werden alle Subventionen – neue und alte – gemäß den subventionspolitischen Leitlinien und dem Prinzip der Nachhaltigkeit einer stetigen Überprüfung unterziehen.</w:t>
      </w:r>
    </w:p>
    <w:p w:rsidR="007F452D" w:rsidRDefault="007F452D">
      <w:pPr>
        <w:spacing w:after="0" w:line="240" w:lineRule="auto"/>
        <w:contextualSpacing/>
        <w:jc w:val="both"/>
        <w:rPr>
          <w:rFonts w:ascii="Arial" w:eastAsia="Cambria" w:hAnsi="Arial" w:cs="Arial"/>
          <w:sz w:val="24"/>
          <w:szCs w:val="24"/>
        </w:rPr>
      </w:pPr>
    </w:p>
    <w:p w:rsidR="007F452D" w:rsidRDefault="006007DF">
      <w:pPr>
        <w:pStyle w:val="berschrift3"/>
        <w:contextualSpacing/>
        <w:rPr>
          <w:rFonts w:cs="Arial"/>
          <w:szCs w:val="24"/>
        </w:rPr>
      </w:pPr>
      <w:r>
        <w:rPr>
          <w:rFonts w:cs="Arial"/>
          <w:szCs w:val="24"/>
        </w:rPr>
        <w:t>Internationaler und europäischer Umweltschutz</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Die globalen Umweltbedrohungen brauchen eine starke internationale Umweltpolitik. Deshalb werden wir uns – in besonderer und enger Zusammenarbeit mit Frankreich – für eine Stärkung der internationalen Umweltinstitutionen einsetzen. Wir wollen die Mittel für die internationale Umweltpolitik aufstocken. Wir setzen uns gegen den fort</w:t>
      </w:r>
      <w:r>
        <w:rPr>
          <w:rFonts w:ascii="Arial" w:eastAsia="Cambria" w:hAnsi="Arial" w:cs="Arial"/>
          <w:sz w:val="24"/>
          <w:szCs w:val="24"/>
        </w:rPr>
        <w:lastRenderedPageBreak/>
        <w:t>schreitenden Verlust an biologischer Vielfalt, die Zerstörung von Wäldern und den zunehmenden Verlust an fruchtbaren Böden ein. Unser Engagement im internationalen Artenschutz und gegen die Wilderei sowie den illegalen Wildtierhandel werden wir ausweiten. Sauberes Wasser ist die wichtigste Lebensgrundlage aller Menschen. Zur Krisenprävention und Bekämpfung der Fluchtursachen wollen wir insbesondere in Afrika in einer gemeinsamen Initiative mit der deutschen Wasserwirtschaft Maßnahmen zur Verbesserung der Versorgung mit Wasser auf lokaler Ebene ermöglichen.</w:t>
      </w:r>
    </w:p>
    <w:p w:rsidR="007F452D" w:rsidRDefault="007F452D">
      <w:pPr>
        <w:spacing w:after="0" w:line="240" w:lineRule="auto"/>
        <w:contextualSpacing/>
        <w:jc w:val="both"/>
        <w:rPr>
          <w:rFonts w:ascii="Arial" w:eastAsia="Cambria" w:hAnsi="Arial" w:cs="Arial"/>
          <w:sz w:val="24"/>
          <w:szCs w:val="24"/>
        </w:rPr>
      </w:pP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Wir werden die EU-Präsidentschaft im Jahr 2020 nutzen, um das Ambitionsniveau des europäischen Umweltschutzes weiter zu steigern. Dabei bekennen wir uns zum europäischen Vorsorgeprinzip. Wir wollen Europa auf dem Weg zu einem nachhaltigen Wirtschaften voranbringen. </w:t>
      </w:r>
    </w:p>
    <w:p w:rsidR="007F452D" w:rsidRDefault="007F452D">
      <w:pPr>
        <w:spacing w:after="0" w:line="240" w:lineRule="auto"/>
        <w:contextualSpacing/>
        <w:jc w:val="both"/>
        <w:rPr>
          <w:rFonts w:ascii="Arial" w:eastAsia="Cambria" w:hAnsi="Arial" w:cs="Arial"/>
          <w:sz w:val="24"/>
          <w:szCs w:val="24"/>
        </w:rPr>
      </w:pPr>
    </w:p>
    <w:p w:rsidR="007F452D" w:rsidRDefault="006007DF">
      <w:pPr>
        <w:pStyle w:val="berschrift3"/>
        <w:contextualSpacing/>
        <w:rPr>
          <w:rFonts w:cs="Arial"/>
          <w:szCs w:val="24"/>
        </w:rPr>
      </w:pPr>
      <w:r>
        <w:rPr>
          <w:rFonts w:cs="Arial"/>
          <w:szCs w:val="24"/>
        </w:rPr>
        <w:t>Internationaler Meeresschutz</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Wir werden der übermäßigen Nutzung der Ozeane entgegenwirken und den Schutz der Meere insbesondere vor Vermüllung verbessern. Wir setzen uns für ein Schutzgebietsnetz für Hochseegebiete und für ein internationales Durchführungsübereinkommen zum Schutz der biologischen Vielfalt im Bereich der Hohen See ein und unterstützen die Einrichtung von Schutzgebieten in Arktis und Antarktis. Um Nord- und Ostsee besser zu schützen, werden wir ein wirksames Management der Freizeitfischerei in den Schutzgebieten in Kraft setzen und uns für wirksame Fischereiregelungen auf EU-Ebene sowie eine bessere Förderung ökosystemgerechter Fangtechniken und -methoden einsetzen. Für einen umweltverträglichen Tiefseebergbau sollen internationale Regeln entwickelt werden.</w:t>
      </w:r>
    </w:p>
    <w:p w:rsidR="007F452D" w:rsidRDefault="007F452D">
      <w:pPr>
        <w:spacing w:after="0" w:line="240" w:lineRule="auto"/>
        <w:contextualSpacing/>
        <w:jc w:val="both"/>
        <w:rPr>
          <w:rFonts w:ascii="Arial" w:eastAsia="Cambria" w:hAnsi="Arial" w:cs="Arial"/>
          <w:sz w:val="24"/>
          <w:szCs w:val="24"/>
        </w:rPr>
      </w:pPr>
    </w:p>
    <w:p w:rsidR="007F452D" w:rsidRDefault="006007DF">
      <w:pPr>
        <w:pStyle w:val="berschrift3"/>
        <w:contextualSpacing/>
        <w:rPr>
          <w:rFonts w:cs="Arial"/>
          <w:szCs w:val="24"/>
        </w:rPr>
      </w:pPr>
      <w:r>
        <w:rPr>
          <w:rFonts w:cs="Arial"/>
          <w:szCs w:val="24"/>
        </w:rPr>
        <w:t>Hochwasserschutz, Gewässerschutz</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Wir werden das Nationale Hochwasserschutzprogramm umsetzen und stärken es, indem wir es über die derzeit vorgesehenen zehn Jahre hinaus dauerhaft ausstatten. Zudem werden wir dieses Programm zum vorbeugenden Hochwasserschutz ausbauen und den Küstenschutz sicherstellen. Die Interessen der Flächeneigentümer werden wir wie bisher berücksichtigen. </w:t>
      </w:r>
    </w:p>
    <w:p w:rsidR="007F452D" w:rsidRDefault="007F452D">
      <w:pPr>
        <w:spacing w:after="0" w:line="240" w:lineRule="auto"/>
        <w:contextualSpacing/>
        <w:jc w:val="both"/>
        <w:rPr>
          <w:rFonts w:ascii="Arial" w:eastAsia="Cambria" w:hAnsi="Arial" w:cs="Arial"/>
          <w:sz w:val="24"/>
          <w:szCs w:val="24"/>
        </w:rPr>
      </w:pP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Wir werden für einen verbesserten Hochwasserschutz bis 2021 länderübergreifende Raumordnungspläne zum Schutz der Menschen und Umwelt entlang unserer Gewässer entwickeln.</w:t>
      </w:r>
    </w:p>
    <w:p w:rsidR="007F452D" w:rsidRDefault="007F452D">
      <w:pPr>
        <w:spacing w:after="0" w:line="240" w:lineRule="auto"/>
        <w:contextualSpacing/>
        <w:jc w:val="both"/>
        <w:rPr>
          <w:rFonts w:ascii="Arial" w:eastAsia="Cambria" w:hAnsi="Arial" w:cs="Arial"/>
          <w:sz w:val="24"/>
          <w:szCs w:val="24"/>
        </w:rPr>
      </w:pP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Im Dialog mit der Landwirtschaft werden wir auf eine gewässerschonende Bewirtschaftung hinwirken. Die Abwasserabgabenregelung wollen wir mit dem Ziel der Reduzierung von Gewässerverunreinigungen weiter entwickeln. Wir wollen mit einer Öffentlichkeitskampagne auf die Gefahren einer falschen Entsorgung von Arzneimitteln über das Abwasser hinweisen, auf eine sachgerechte Handhabe abzielen und damit insbesondere den Schutz unserer Wasserressourcen vor Chemikalieneinträgen verbessern.</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 </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Wir wollen die Deutsche Anpassungsstrategie an den Klimawandel fortentwickeln und dafür die notwendigen Ressourcen zur Verfügung stellen.</w:t>
      </w:r>
    </w:p>
    <w:p w:rsidR="007F452D" w:rsidRDefault="006007DF">
      <w:pPr>
        <w:rPr>
          <w:rFonts w:ascii="Arial" w:eastAsia="Cambria" w:hAnsi="Arial" w:cs="Arial"/>
          <w:sz w:val="24"/>
          <w:szCs w:val="24"/>
        </w:rPr>
      </w:pPr>
      <w:r>
        <w:rPr>
          <w:rFonts w:ascii="Arial" w:eastAsia="Cambria" w:hAnsi="Arial" w:cs="Arial"/>
          <w:sz w:val="24"/>
          <w:szCs w:val="24"/>
        </w:rPr>
        <w:br w:type="page"/>
      </w:r>
    </w:p>
    <w:p w:rsidR="007F452D" w:rsidRDefault="006007DF">
      <w:pPr>
        <w:pStyle w:val="berschrift3"/>
        <w:contextualSpacing/>
        <w:rPr>
          <w:rFonts w:cs="Arial"/>
          <w:szCs w:val="24"/>
        </w:rPr>
      </w:pPr>
      <w:r>
        <w:rPr>
          <w:rFonts w:cs="Arial"/>
          <w:szCs w:val="24"/>
        </w:rPr>
        <w:lastRenderedPageBreak/>
        <w:t>Schutz der biologischen Vielfalt</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Den Schutz der biologischen Vielfalt werden wir als Querschnittsaufgabe zu einem starken Pfeiler unserer Umweltpolitik machen. Dazu wollen wir die Umsetzung der Nationalen Strategie zur biologischen Vielfalt forcieren. </w:t>
      </w:r>
    </w:p>
    <w:p w:rsidR="007F452D" w:rsidRDefault="007F452D">
      <w:pPr>
        <w:spacing w:after="0" w:line="240" w:lineRule="auto"/>
        <w:contextualSpacing/>
        <w:jc w:val="both"/>
        <w:rPr>
          <w:rFonts w:ascii="Arial" w:eastAsia="Cambria" w:hAnsi="Arial" w:cs="Arial"/>
          <w:sz w:val="24"/>
          <w:szCs w:val="24"/>
        </w:rPr>
      </w:pP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Das erfolgreiche Programm „Nationales Naturerbe“ werden wir mit einer vierten Tranche über 30</w:t>
      </w:r>
      <w:r w:rsidR="00FA6302">
        <w:rPr>
          <w:rFonts w:ascii="Arial" w:eastAsia="Cambria" w:hAnsi="Arial" w:cs="Arial"/>
          <w:sz w:val="24"/>
          <w:szCs w:val="24"/>
        </w:rPr>
        <w:t> </w:t>
      </w:r>
      <w:r>
        <w:rPr>
          <w:rFonts w:ascii="Arial" w:eastAsia="Cambria" w:hAnsi="Arial" w:cs="Arial"/>
          <w:sz w:val="24"/>
          <w:szCs w:val="24"/>
        </w:rPr>
        <w:t>000 Hektar, darunter 20</w:t>
      </w:r>
      <w:r w:rsidR="00FA6302">
        <w:rPr>
          <w:rFonts w:ascii="Arial" w:eastAsia="Cambria" w:hAnsi="Arial" w:cs="Arial"/>
          <w:sz w:val="24"/>
          <w:szCs w:val="24"/>
        </w:rPr>
        <w:t> </w:t>
      </w:r>
      <w:r>
        <w:rPr>
          <w:rFonts w:ascii="Arial" w:eastAsia="Cambria" w:hAnsi="Arial" w:cs="Arial"/>
          <w:sz w:val="24"/>
          <w:szCs w:val="24"/>
        </w:rPr>
        <w:t xml:space="preserve">000 Hektar von der Bodenverwertungs- und -verwaltungs GmbH, fortsetzen. </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Wir wollen das Bundesprogramm „Biologische Vielfalt“ fortführen und werden die Mittel für „chance.natur – Bundesförderung Naturschutz“ erhöhen. In Zusammenarbeit mit den Ländern werden wir einen Aktionsplan Schutzgebiete erstellen. Wir werden einen „Wildnisfonds“ zur Verfügung stellen mit dem Ziel, die Länder bei der Umsetzung des Zwei-Prozent-Ziels Wildnis zu unterstützen. Das Bundesprogramm „Blaues Band Deutschland“ werden wir weiter umsetzen. Wir wollen eine Moorschutzstrategie erarbeiten und die ersten Maßnahmen noch in dieser Legislaturperiode umsetzen. Zur Erhöhung der Arten- und Biotopvielfalt in den Städten wollen wir einen Masterplan zur Umsetzung des Weißbuchs „Grün in der Stadt“ entwickeln und umsetzen. </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Wir werden das Insektensterben umfassend bekämpfen. Mit einem „Aktionsprogramm Insektenschutz“ wollen wir die Lebensbedingungen für Insekten verbessern. Wir wollen ein wissenschaftliches Monitoringzentrum zur Biodiversität unter Einbeziehung des Bundesumwelt- sowie des Bundeslandwirtschaftsministeriums aufbauen.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pStyle w:val="Kommentartext"/>
        <w:spacing w:after="0"/>
        <w:contextualSpacing/>
        <w:jc w:val="both"/>
        <w:rPr>
          <w:rFonts w:ascii="Arial" w:eastAsia="Cambria" w:hAnsi="Arial" w:cs="Arial"/>
          <w:color w:val="auto"/>
          <w:sz w:val="24"/>
          <w:szCs w:val="24"/>
        </w:rPr>
      </w:pPr>
      <w:r>
        <w:rPr>
          <w:rFonts w:ascii="Arial" w:eastAsia="Cambria" w:hAnsi="Arial" w:cs="Arial"/>
          <w:color w:val="auto"/>
          <w:sz w:val="24"/>
          <w:szCs w:val="24"/>
        </w:rPr>
        <w:t>Wir werden uns in der EU für mehr Mittel für den Naturschutz, die sich am Bedarf von Natura 2000 orientieren, und einen eigenständigen EU-Naturschutzfonds einsetzen.</w:t>
      </w:r>
      <w:r>
        <w:rPr>
          <w:rFonts w:ascii="Arial" w:hAnsi="Arial" w:cs="Arial"/>
          <w:color w:val="auto"/>
          <w:sz w:val="24"/>
          <w:szCs w:val="24"/>
        </w:rPr>
        <w:t xml:space="preserve"> </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Wir initiieren einen Dialog zwischen Landwirten, Jägern, Fischern, den Naturschutzverbänden und der Wissenschaft, um den Schutz der heimischen Flora und Fauna vor sich zunehmend ausbreitenden nicht-heimischen Tier- und Pflanzenarten zu verbessern.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Unser Ziel ist, Eingriffe in Natur und Landschaft möglichst zu vermeiden. Dort, wo dies nicht möglich ist, sind entstandene Beeinträchtigungen wieder auszugleichen, um die Funktionsfähigkeit des Naturhaushaltes auf Dauer zu sichern. Wir wollen eine Bundeskompensationsverordnung mit einem vielseitigen Mix qualitativ hochwertiger Maßnahmen schaffen, damit Genehmigungsbehörden Spielraum erhalten, auch bei der Errichtung Erneuerbarer-Energien-Anlagen und beim Netzausbau die Flächeninanspruchnahme möglichst gering zu halten. </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Land-, Forst- und Fischereiwirtschaft haben große Potenziale für den Klimaschutz und die Bewahrung der Biodiversität. Schutzmaßnahmen wollen wir deshalb verstärkt in Zusammenarbeit mit diesen Sektoren voranbringen und die vorhandenen Instrumente verstärkt nutzen. Wir wollen international Schutz, Erhaltung und Wiederaufbau von Wäldern und die Finanzierung dafür voranbringen.</w:t>
      </w:r>
    </w:p>
    <w:p w:rsidR="007F452D" w:rsidRDefault="007F452D">
      <w:pPr>
        <w:spacing w:after="0" w:line="240" w:lineRule="auto"/>
        <w:contextualSpacing/>
        <w:jc w:val="both"/>
        <w:rPr>
          <w:rFonts w:ascii="Arial" w:eastAsia="Cambria" w:hAnsi="Arial" w:cs="Arial"/>
          <w:sz w:val="24"/>
          <w:szCs w:val="24"/>
        </w:rPr>
      </w:pPr>
    </w:p>
    <w:p w:rsidR="007F452D" w:rsidRDefault="006007DF">
      <w:pPr>
        <w:pStyle w:val="berschrift3"/>
        <w:contextualSpacing/>
        <w:rPr>
          <w:rFonts w:eastAsia="Cambria" w:cs="Arial"/>
          <w:b w:val="0"/>
          <w:szCs w:val="24"/>
        </w:rPr>
      </w:pPr>
      <w:r>
        <w:rPr>
          <w:rFonts w:cs="Arial"/>
          <w:szCs w:val="24"/>
        </w:rPr>
        <w:t>Kreislaufwirtschaft</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Wir stehen für eine Weiterentwicklung des erfolgreichen deutschen Modells der Kreislaufwirtschaft. Anspruchsvolle Recyclingquoten, Wettbewerb und Produktverantwortung sollen dabei auch künftig die Leitplanken sein. Wir wollen, auch im Rah</w:t>
      </w:r>
      <w:r>
        <w:rPr>
          <w:rFonts w:ascii="Arial" w:eastAsia="Cambria" w:hAnsi="Arial" w:cs="Arial"/>
          <w:sz w:val="24"/>
          <w:szCs w:val="24"/>
        </w:rPr>
        <w:lastRenderedPageBreak/>
        <w:t>men des europäischen Kreislaufwirtschaftspakets und der weiteren Arbeiten an der europäischen Plastikstrategie, Abfallvermeidung und Recycling stärken, die Einsatzmöglichkeiten für recycelte Materialien verbessern und entsprechende Anreize sowie mögliche gesetzliche Pflichten prüfen. Daneben wollen wir die Produktverantwortung weiterentwickeln, d.h. Hersteller müssen Langlebigkeit, Reparierbarkeit und Wiederverwendbarkeit stärker berücksichtigen.</w:t>
      </w:r>
    </w:p>
    <w:p w:rsidR="007F452D" w:rsidRDefault="007F452D">
      <w:pPr>
        <w:spacing w:after="0" w:line="240" w:lineRule="auto"/>
        <w:contextualSpacing/>
        <w:jc w:val="both"/>
        <w:rPr>
          <w:rFonts w:ascii="Arial" w:eastAsia="Cambria" w:hAnsi="Arial" w:cs="Arial"/>
          <w:sz w:val="24"/>
          <w:szCs w:val="24"/>
        </w:rPr>
      </w:pPr>
    </w:p>
    <w:p w:rsidR="007F452D" w:rsidRDefault="006007DF">
      <w:pPr>
        <w:spacing w:after="0" w:line="240" w:lineRule="auto"/>
        <w:contextualSpacing/>
        <w:jc w:val="both"/>
        <w:rPr>
          <w:rFonts w:ascii="Arial" w:eastAsia="Cambria" w:hAnsi="Arial" w:cs="Arial"/>
          <w:b/>
          <w:sz w:val="24"/>
          <w:szCs w:val="24"/>
        </w:rPr>
      </w:pPr>
      <w:r>
        <w:rPr>
          <w:rFonts w:ascii="Arial" w:eastAsia="Cambria" w:hAnsi="Arial" w:cs="Arial"/>
          <w:sz w:val="24"/>
          <w:szCs w:val="24"/>
        </w:rPr>
        <w:t>Wir werden die Recyclingpotenziale weiterer relevanter Abfallströme wie Altholz, Alttextilien oder Altreifen evaluieren und verstärkt nutzen.</w:t>
      </w:r>
      <w:r>
        <w:rPr>
          <w:rFonts w:ascii="Arial" w:eastAsia="Cambria" w:hAnsi="Arial" w:cs="Arial"/>
          <w:b/>
          <w:sz w:val="24"/>
          <w:szCs w:val="24"/>
        </w:rPr>
        <w:t xml:space="preserve"> </w:t>
      </w:r>
      <w:r>
        <w:rPr>
          <w:rFonts w:ascii="Arial" w:eastAsia="Cambria" w:hAnsi="Arial" w:cs="Arial"/>
          <w:sz w:val="24"/>
          <w:szCs w:val="24"/>
        </w:rPr>
        <w:t xml:space="preserve">Bei der Einweg-Mehrweg-Diskussion setzen wir auf Wissenschaftlichkeit und den größten ökologischen Nutzen. Deshalb werden wir für Ökobilanzen als Entscheidungsgrundlage zügig die einheitliche Methodik weiterentwickeln. Wir werden eine „Nationale Forschungs- und Innovationsstrategie für Ressourcenschutztechnologie“ gemeinsam mit der Wirtschaft erarbeiten. </w:t>
      </w:r>
    </w:p>
    <w:p w:rsidR="007F452D" w:rsidRDefault="007F452D">
      <w:pPr>
        <w:spacing w:after="0" w:line="240" w:lineRule="auto"/>
        <w:contextualSpacing/>
        <w:jc w:val="both"/>
        <w:rPr>
          <w:rFonts w:ascii="Arial" w:eastAsia="Cambria" w:hAnsi="Arial" w:cs="Arial"/>
          <w:sz w:val="24"/>
          <w:szCs w:val="24"/>
        </w:rPr>
      </w:pP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Wir wollen den Bodenschutz in der Praxis voranbringen und einen bundeseinheitlichen und rechtsverbindlichen Rahmen für die Verwertung mineralischer Abfälle schaffen. Die Mantelverordnung für Ersatzbaustoffe und Bodenschutz muss ein hohes Schutzniveau für Mensch, Boden und Grundwasser gewährleisten, gleichzeitig aber praxistauglich und kosteneffizient ausgestaltet sein sowie Entsorgungsengpässe vermeiden. Wir wollen den Ländern bei entsprechenden Änderungsanträgen des Bunderates mit der Aufnahme einer Öffnungsklausel die Möglichkeit einräumen, bereits bestehende und bewährte länderspezifische Regelungen bei der Verfüllung von Gruben, Brüchen und Tagebauen gesetzlich abzusichern.</w:t>
      </w:r>
    </w:p>
    <w:p w:rsidR="007F452D" w:rsidRDefault="007F452D">
      <w:pPr>
        <w:spacing w:after="0" w:line="240" w:lineRule="auto"/>
        <w:contextualSpacing/>
        <w:jc w:val="both"/>
        <w:rPr>
          <w:rFonts w:ascii="Arial" w:eastAsia="Cambria" w:hAnsi="Arial" w:cs="Arial"/>
          <w:sz w:val="24"/>
          <w:szCs w:val="24"/>
        </w:rPr>
      </w:pPr>
    </w:p>
    <w:p w:rsidR="007F452D" w:rsidRDefault="006007DF">
      <w:pPr>
        <w:pStyle w:val="berschrift3"/>
        <w:contextualSpacing/>
        <w:rPr>
          <w:rFonts w:eastAsia="Cambria" w:cs="Arial"/>
          <w:szCs w:val="24"/>
        </w:rPr>
      </w:pPr>
      <w:r>
        <w:rPr>
          <w:rFonts w:cs="Arial"/>
          <w:szCs w:val="24"/>
        </w:rPr>
        <w:t>Luftreinhaltung</w:t>
      </w:r>
      <w:r>
        <w:rPr>
          <w:rFonts w:eastAsia="Cambria" w:cs="Arial"/>
          <w:szCs w:val="24"/>
        </w:rPr>
        <w:t xml:space="preserve"> </w:t>
      </w:r>
    </w:p>
    <w:p w:rsidR="007F452D" w:rsidRDefault="006007DF">
      <w:pPr>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Wir werden die Novelle der Technischen Anleitung zur Reinhaltung der Luft (TA Luft) zügig verabschieden und damit an den Stand der Technik anpassen. </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pStyle w:val="berschrift3"/>
        <w:contextualSpacing/>
        <w:rPr>
          <w:rFonts w:cs="Arial"/>
          <w:szCs w:val="24"/>
        </w:rPr>
      </w:pPr>
      <w:r>
        <w:rPr>
          <w:rFonts w:cs="Arial"/>
          <w:szCs w:val="24"/>
        </w:rPr>
        <w:t xml:space="preserve">Umwelt und Gesundheit </w:t>
      </w: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Wir werden auch aus Wettbewerbsgründen auf EU-Ebene dafür eintreten, dass Erzeugnisse, die besonders besorgniserregende Stoffe enthalten und freisetzen können, im Rahmen der bestehenden Chemikalienverordnung REACH geregelt werden, wenn sie nicht in der EU hergestellt werden. Eine geeignete und bewährte Maßnahme zur Regelung von Stoffen in Erzeugnissen ist das REACH-Beschränkungsver-fahren.</w:t>
      </w:r>
      <w:r>
        <w:rPr>
          <w:rFonts w:ascii="Arial" w:hAnsi="Arial" w:cs="Arial"/>
          <w:i/>
          <w:iCs/>
          <w:sz w:val="24"/>
          <w:szCs w:val="24"/>
        </w:rPr>
        <w:t xml:space="preserve"> </w:t>
      </w:r>
      <w:r>
        <w:rPr>
          <w:rFonts w:ascii="Arial" w:eastAsia="Cambria" w:hAnsi="Arial" w:cs="Arial"/>
          <w:sz w:val="24"/>
          <w:szCs w:val="24"/>
        </w:rPr>
        <w:t xml:space="preserve">Die Regulierung dieser Erzeugnisse soll beschleunigt und erleichtert werden. Regelungslücken, die europäische Unternehmen benachteiligen, sollen bei künftigen Anpassungen der bestehenden REACH-Vorschriften geschlossen werden. </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Wir wollen das ressortübergreifende „Aktionsprogramm Umwelt und Gesundheit“ weiterentwickeln, um den Schutz der Menschen vor umweltbedingten Gesundheitsrisiken weiter zu verbessern.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Wir wollen zur Verbesserung des Schutzes der Gesundheit vor ionisierender Strahlung das Strahlenschutzgesetz 2017 auf der Verordnungsebene konkretisieren. Im Bundesamt für Strahlenschutz wollen wir ein</w:t>
      </w:r>
      <w:r>
        <w:rPr>
          <w:rFonts w:ascii="Arial" w:hAnsi="Arial" w:cs="Arial"/>
          <w:sz w:val="24"/>
          <w:szCs w:val="24"/>
        </w:rPr>
        <w:t xml:space="preserve"> </w:t>
      </w:r>
      <w:r>
        <w:rPr>
          <w:rFonts w:ascii="Arial" w:eastAsia="Cambria" w:hAnsi="Arial" w:cs="Arial"/>
          <w:sz w:val="24"/>
          <w:szCs w:val="24"/>
        </w:rPr>
        <w:t>Kompetenzzentrum „Strahlenschutz und Stromnetze“ einrichten. Wir wollen den Schutz vor elektromagnetischen Feldern bei der Digitalisierung, insbesondere auch bei dem Aufbau des zukünftigen Mobilfunkstandards, sicherstellen.</w:t>
      </w:r>
    </w:p>
    <w:p w:rsidR="00FA6302" w:rsidRDefault="00FA6302">
      <w:pPr>
        <w:rPr>
          <w:rFonts w:ascii="Arial" w:hAnsi="Arial" w:cs="Arial"/>
          <w:b/>
          <w:sz w:val="24"/>
          <w:szCs w:val="24"/>
        </w:rPr>
      </w:pPr>
      <w:r>
        <w:rPr>
          <w:rFonts w:cs="Arial"/>
          <w:szCs w:val="24"/>
        </w:rPr>
        <w:br w:type="page"/>
      </w:r>
    </w:p>
    <w:p w:rsidR="007F452D" w:rsidRDefault="006007DF">
      <w:pPr>
        <w:pStyle w:val="berschrift3"/>
        <w:contextualSpacing/>
        <w:rPr>
          <w:rFonts w:cs="Arial"/>
          <w:szCs w:val="24"/>
        </w:rPr>
      </w:pPr>
      <w:r>
        <w:rPr>
          <w:rFonts w:cs="Arial"/>
          <w:szCs w:val="24"/>
        </w:rPr>
        <w:lastRenderedPageBreak/>
        <w:t>Atompolitik</w:t>
      </w: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Wir werden den beschlossenen Ausstieg aus der Nutzung der Kernenergie bis Ende 2022 zielgerichtet vorantreiben. Auch für den verbleibenden Nutzungszeitraum bleibt bestmögliche Sicherheit das oberste Gebot und muss von den Betreibern jederzeit gewährleistet werden.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Wir wollen ein In-camera-Verfahren im Hauptsacheverfahren einführen, so dass geheimhaltungsbedürftige Unterlagen zum Zwecke des Nachweises der Genehmigungsvoraussetzungen in ein verwaltungsgerichtliches Hauptsacheverfahren bei gleichzeitiger Wahrung des Geheimschutzes eingeführt werden können.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trike/>
          <w:sz w:val="24"/>
          <w:szCs w:val="24"/>
        </w:rPr>
      </w:pPr>
      <w:r>
        <w:rPr>
          <w:rFonts w:ascii="Arial" w:eastAsia="Cambria" w:hAnsi="Arial" w:cs="Arial"/>
          <w:sz w:val="24"/>
          <w:szCs w:val="24"/>
        </w:rPr>
        <w:t>In der EU werden wir uns dafür einsetzen, dass die Zielbestimmungen des EURATOM-Vertrages hinsichtlich der Nutzung der Atomenergie an die Herausforderungen der Zukunft angepasst werden. Wir wollen keine EU-Förderung für neue Atomkraftwerke. Wir wollen eine konsequente Beendigung aller Beteiligungen staatlicher Fonds an AKWs im Ausland umsetzen.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Wir stehen für eine zügige Umsetzung bei der Suche nach einem Endlager für hochradioaktive Abfälle gemäß Standortauswahlgesetz. An dem gesetzlich festgelegten Ziel, bis 2031 den Standort für ein Endlager festzulegen, halten wir fest. Dafür ist als nächster Schritt die schnellstmögliche Festlegung der übertägigen Erkundungs-standorte erforderlich. Die Zugänglichkeit und Veröffentlichung der hierfür benötigten wissenschaftlichen Daten ist durch die rasche Verabschiedung des Geowissenschaftsdatengesetzes zu ermöglichen. Ein zügiges Verfahren ist auch im Interesse der Bürgerinnen und Bürger in den Kommunen, in denen sich derzeit atomare Zwischenlager befinden. Diese dürfen nicht zu faktischen Endlagern werden. </w:t>
      </w:r>
    </w:p>
    <w:p w:rsidR="007F452D" w:rsidRDefault="007F452D">
      <w:pPr>
        <w:tabs>
          <w:tab w:val="left" w:pos="820"/>
        </w:tabs>
        <w:spacing w:after="0" w:line="240" w:lineRule="auto"/>
        <w:contextualSpacing/>
        <w:jc w:val="both"/>
        <w:rPr>
          <w:rFonts w:ascii="Arial" w:eastAsia="Cambria" w:hAnsi="Arial" w:cs="Arial"/>
          <w:strike/>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Um die sichere Entsorgung der bereits angefallenen erheblichen Mengen schwach- und mittelradioaktiver Abfälle und einen zügigen Rückbau der Atomkraftwerke zu ermöglichen, wollen wir eine möglichst rasche Fertigstellung und Inbetriebnahme von Schacht Konrad als Endlager für schwach- und mittelradioaktive Abfälle wie auch die zuvor erforderliche Produktkontrolle vorantreiben. Für einen zügigen Einlagerungsbetrieb ist die Errichtung eines Bereitstellungslagers unverzichtbar. Wir wollen deshalb ein solches Bereitstellungslager einrichten und mit den Planungen dafür unverzüglich beginnen.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Wir werden ein Konzept zum perspektivischen Erhalt von Fachwissen und -personal für Betrieb, Rückbau und zu Sicherheitsfragen bei Nuklearanlagen sowie für Zwischen- und Endlagerung erarbeiten.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 xml:space="preserve">Wir wollen, dass Deutschland bei der Reaktorsicherheit in Europa dauerhaft Einfluss ausübt – auch nach dem Ausstieg aus der nationalen Nutzung der Kernenergie. Etliche Nachbarländer nutzen die Kernenergie weiter. Angesichts des alternden Bestands der Atomkraftwerke in Europa wollen wir uns weiterhin für umfassende Sicherheitsüberprüfungen, ambitionierte verbindliche Sicherheitsziele in der EU und ein System wechselseitiger Kontrolle bei fortbestehender nationaler Verantwortung für die Sicherheit einsetzen. Wer in Sicherheitsfragen mitreden will, der muss das auch können. Dafür ist der Know-how-Erhalt unverzichtbar. </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lastRenderedPageBreak/>
        <w:t>Die Arbeiten zur Rückholung der Abfälle aus dem Forschungsbergwerk Asse sind mit hoher Priorität fortzusetzen. Auch die sichere Stilllegung des Endlagers Morsleben muss schnellstmöglich vorangebracht werden.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tabs>
          <w:tab w:val="left" w:pos="820"/>
        </w:tabs>
        <w:spacing w:after="0" w:line="240" w:lineRule="auto"/>
        <w:contextualSpacing/>
        <w:jc w:val="both"/>
        <w:rPr>
          <w:rFonts w:ascii="Arial" w:eastAsia="Cambria" w:hAnsi="Arial" w:cs="Arial"/>
          <w:sz w:val="24"/>
          <w:szCs w:val="24"/>
        </w:rPr>
      </w:pPr>
      <w:r>
        <w:rPr>
          <w:rFonts w:ascii="Arial" w:eastAsia="Cambria" w:hAnsi="Arial" w:cs="Arial"/>
          <w:sz w:val="24"/>
          <w:szCs w:val="24"/>
        </w:rPr>
        <w:t>Wir wollen verhindern, dass Kernbrennstoffe aus deutscher Produktion in Anlagen im Ausland, deren Sicherheit aus deutscher Sicht zweifelhaft ist, zum Einsatz kommen. Wir werden deshalb prüfen, auf welchem Wege wir dieses Ziel rechtssicher erreichen.</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pStyle w:val="berschrift3"/>
        <w:contextualSpacing/>
        <w:rPr>
          <w:rFonts w:cs="Arial"/>
          <w:szCs w:val="24"/>
        </w:rPr>
      </w:pPr>
      <w:r>
        <w:rPr>
          <w:rFonts w:cs="Arial"/>
          <w:szCs w:val="24"/>
        </w:rPr>
        <w:t>Biodiversitätsschutz</w:t>
      </w:r>
    </w:p>
    <w:p w:rsidR="007F452D" w:rsidRDefault="006007DF">
      <w:pPr>
        <w:spacing w:after="0" w:line="240" w:lineRule="auto"/>
        <w:contextualSpacing/>
        <w:jc w:val="both"/>
        <w:rPr>
          <w:rFonts w:ascii="Arial" w:hAnsi="Arial" w:cs="Arial"/>
          <w:sz w:val="24"/>
          <w:szCs w:val="24"/>
          <w:highlight w:val="yellow"/>
          <w:shd w:val="clear" w:color="auto" w:fill="FFFFFF"/>
        </w:rPr>
      </w:pPr>
      <w:r>
        <w:rPr>
          <w:rFonts w:ascii="Arial" w:hAnsi="Arial" w:cs="Arial"/>
          <w:sz w:val="24"/>
          <w:szCs w:val="24"/>
          <w:shd w:val="clear" w:color="auto" w:fill="FFFFFF"/>
        </w:rPr>
        <w:t xml:space="preserve">Wir werden mit einer systematischen Minderungsstrategie den Einsatz von glyphosathaltigen Pflanzenschutzmitteln deutlich einschränken mit dem Ziel, die Anwendung so schnell wie möglich grundsätzlich zu beenden. Dazu werden wir gemeinsam mit der Landwirtschaft Alternativen im Rahmen einer Ackerbaustrategie entwickeln und u. a. umwelt- und naturverträgliche Anwendungen von Pflanzenschutzmitteln regeln. Die dazu notwendigen rechtlichen Maßnahmen werden wir in einem EU-konformen Rahmen verankern. </w:t>
      </w:r>
    </w:p>
    <w:p w:rsidR="007F452D" w:rsidRDefault="007F452D">
      <w:pPr>
        <w:tabs>
          <w:tab w:val="left" w:pos="820"/>
        </w:tabs>
        <w:spacing w:after="0" w:line="240" w:lineRule="auto"/>
        <w:contextualSpacing/>
        <w:jc w:val="both"/>
        <w:rPr>
          <w:rFonts w:ascii="Arial" w:eastAsia="Cambria" w:hAnsi="Arial" w:cs="Arial"/>
          <w:sz w:val="24"/>
          <w:szCs w:val="24"/>
        </w:rPr>
      </w:pPr>
    </w:p>
    <w:p w:rsidR="007F452D" w:rsidRDefault="006007DF">
      <w:pPr>
        <w:pStyle w:val="berschrift3"/>
        <w:contextualSpacing/>
        <w:rPr>
          <w:rFonts w:cs="Arial"/>
          <w:szCs w:val="24"/>
        </w:rPr>
      </w:pPr>
      <w:r>
        <w:rPr>
          <w:rFonts w:cs="Arial"/>
          <w:szCs w:val="24"/>
        </w:rPr>
        <w:t>Klima</w:t>
      </w:r>
    </w:p>
    <w:p w:rsidR="007F452D" w:rsidRDefault="006007DF">
      <w:pPr>
        <w:spacing w:after="0" w:line="240" w:lineRule="auto"/>
        <w:ind w:right="54"/>
        <w:contextualSpacing/>
        <w:jc w:val="both"/>
        <w:rPr>
          <w:rFonts w:ascii="Arial" w:eastAsia="Cambria" w:hAnsi="Arial" w:cs="Arial"/>
          <w:sz w:val="24"/>
          <w:szCs w:val="24"/>
        </w:rPr>
      </w:pPr>
      <w:r>
        <w:rPr>
          <w:rFonts w:ascii="Arial" w:eastAsia="Cambria" w:hAnsi="Arial" w:cs="Arial"/>
          <w:sz w:val="24"/>
          <w:szCs w:val="24"/>
        </w:rPr>
        <w:t xml:space="preserve">Wir bekennen uns zu den national, europäisch und im Rahmen des Pariser Klimaschutzabkommens vereinbarten Klimazielen 2020, 2030 und 2050 für alle Sektoren. Deutschland setzt sich gemäß dem Pariser Klimaschutzabkommen dafür ein, die Erderwärmung auf deutlich unter zwei Grad Celsius und möglichst auf 1,5 Grad Celsius zu begrenzen und spätestens in der zweiten Hälfte des Jahrhunderts weltweit weitgehende Treibhausgasneutralität zu erreichen. </w:t>
      </w:r>
    </w:p>
    <w:p w:rsidR="007F452D" w:rsidRDefault="007F452D">
      <w:pPr>
        <w:spacing w:after="0" w:line="240" w:lineRule="auto"/>
        <w:ind w:right="54"/>
        <w:contextualSpacing/>
        <w:jc w:val="both"/>
        <w:rPr>
          <w:rFonts w:ascii="Arial" w:eastAsia="Cambria" w:hAnsi="Arial" w:cs="Arial"/>
          <w:sz w:val="24"/>
          <w:szCs w:val="24"/>
        </w:rPr>
      </w:pPr>
    </w:p>
    <w:p w:rsidR="007F452D" w:rsidRDefault="006007DF">
      <w:pPr>
        <w:spacing w:after="0" w:line="240" w:lineRule="auto"/>
        <w:ind w:right="54"/>
        <w:contextualSpacing/>
        <w:jc w:val="both"/>
        <w:rPr>
          <w:rFonts w:ascii="Arial" w:eastAsia="Cambria" w:hAnsi="Arial" w:cs="Arial"/>
          <w:sz w:val="24"/>
          <w:szCs w:val="24"/>
        </w:rPr>
      </w:pPr>
      <w:bookmarkStart w:id="66" w:name="_gjdgxs" w:colFirst="0" w:colLast="0"/>
      <w:bookmarkEnd w:id="66"/>
      <w:r>
        <w:rPr>
          <w:rFonts w:ascii="Arial" w:eastAsia="Cambria" w:hAnsi="Arial" w:cs="Arial"/>
          <w:sz w:val="24"/>
          <w:szCs w:val="24"/>
        </w:rPr>
        <w:t>Wir setzen das Aktionsprogramm Klimaschutz 2020 und den Klimaschutzplan 2050 mit den für alle Sektoren vereinbarten Maßnahmenpaketen und Zielen vollständig um und werden Ergänzungen vornehmen, um die Handlungslücke zur Erreichung des Klimaziels 2020 so schnell wie möglich zu schließen. Das Minderungsziel 2030 wollen wir auf jeden Fall erreichen. Dies soll unter Beachtung des Zieldreiecks Versorgungssicherheit, Sauberkeit und Wirtschaftlichkeit sowie ohne Strukturbrüche und mithilfe einer deutlichen Steigerung des Ausbaus der Erneuerbaren Energien und der Energieeffizienz realisiert werden. Wir stehen weiterhin für eine wissenschaftlich fundierte, technologieoffene und effiziente Klimapolitik.</w:t>
      </w:r>
    </w:p>
    <w:p w:rsidR="007F452D" w:rsidRDefault="007F452D">
      <w:pPr>
        <w:spacing w:after="0" w:line="240" w:lineRule="auto"/>
        <w:contextualSpacing/>
        <w:jc w:val="both"/>
        <w:rPr>
          <w:rFonts w:ascii="Arial" w:eastAsia="Cambria" w:hAnsi="Arial" w:cs="Arial"/>
          <w:sz w:val="24"/>
          <w:szCs w:val="24"/>
        </w:rPr>
      </w:pPr>
    </w:p>
    <w:p w:rsidR="007F452D" w:rsidRDefault="006007DF">
      <w:pPr>
        <w:spacing w:after="0" w:line="240" w:lineRule="auto"/>
        <w:ind w:right="54"/>
        <w:contextualSpacing/>
        <w:jc w:val="both"/>
        <w:rPr>
          <w:rFonts w:ascii="Arial" w:eastAsia="Cambria" w:hAnsi="Arial" w:cs="Arial"/>
          <w:sz w:val="24"/>
          <w:szCs w:val="24"/>
        </w:rPr>
      </w:pPr>
      <w:r>
        <w:rPr>
          <w:rFonts w:ascii="Arial" w:eastAsia="Cambria" w:hAnsi="Arial" w:cs="Arial"/>
          <w:sz w:val="24"/>
          <w:szCs w:val="24"/>
        </w:rPr>
        <w:t>Wir werden eine Kommission „Wachstum, Strukturwandel und Beschäftigung“ unter Einbeziehung der unterschiedlichen Akteure aus Politik, Wirtschaft, Umweltverbänden, Gewerkschaften sowie betroffenen Ländern und Regionen einsetzen, die auf Basis des Aktionsprogramms Klimaschutz 2020 und des Klimaschutzplans 2050 bis Ende 2018 ein Aktionsprogramm mit folgenden Elementen erarbeiten soll:</w:t>
      </w:r>
    </w:p>
    <w:p w:rsidR="007F452D" w:rsidRDefault="007F452D">
      <w:pPr>
        <w:spacing w:after="0" w:line="240" w:lineRule="auto"/>
        <w:ind w:right="54"/>
        <w:contextualSpacing/>
        <w:jc w:val="both"/>
        <w:rPr>
          <w:rFonts w:ascii="Arial" w:eastAsia="Cambria" w:hAnsi="Arial" w:cs="Arial"/>
          <w:sz w:val="24"/>
          <w:szCs w:val="24"/>
        </w:rPr>
      </w:pP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Pr>
          <w:rFonts w:ascii="Arial" w:eastAsia="Cambria" w:hAnsi="Arial" w:cs="Arial"/>
          <w:sz w:val="24"/>
          <w:szCs w:val="24"/>
        </w:rPr>
        <w:t>Maßnahmen, um die Lücke zur Erreichung des 40 Prozent-Reduktionsziels bis 2020 so weit wie möglich zu reduzieren,</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Pr>
          <w:rFonts w:ascii="Arial" w:eastAsia="Cambria" w:hAnsi="Arial" w:cs="Arial"/>
          <w:sz w:val="24"/>
          <w:szCs w:val="24"/>
        </w:rPr>
        <w:t>Maßnahmen, die das 2030-Ziel für den Energiesektor zuverlässig erreichen, einschließlich einer umfassenden Folgenabschätzung,</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eastAsia="Cambria" w:hAnsi="Arial" w:cs="Arial"/>
          <w:sz w:val="24"/>
          <w:szCs w:val="24"/>
        </w:rPr>
      </w:pPr>
      <w:r>
        <w:rPr>
          <w:rFonts w:ascii="Arial" w:eastAsia="Cambria" w:hAnsi="Arial" w:cs="Arial"/>
          <w:sz w:val="24"/>
          <w:szCs w:val="24"/>
        </w:rPr>
        <w:t>einen Plan zur schrittweisen Reduzierung und Beendigung der Kohleverstromung, einschließlich eines Abschlussdatums und der notwendigen rechtlichen, wirtschaftlichen, sozialen und strukturpolitischen Begleitmaßnahmen und</w:t>
      </w:r>
    </w:p>
    <w:p w:rsidR="007F452D" w:rsidRDefault="006007DF">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eastAsia="Cambria" w:hAnsi="Arial" w:cs="Arial"/>
          <w:sz w:val="24"/>
          <w:szCs w:val="24"/>
        </w:rPr>
      </w:pPr>
      <w:r>
        <w:rPr>
          <w:rFonts w:ascii="Arial" w:eastAsia="Cambria" w:hAnsi="Arial" w:cs="Arial"/>
          <w:sz w:val="24"/>
          <w:szCs w:val="24"/>
        </w:rPr>
        <w:t>die finanzielle Absicherung für den notwendigen Strukturwandel in den betroffenen Regionen und einen Fonds für Strukturwandel aus Mitteln des Bundes.</w:t>
      </w:r>
    </w:p>
    <w:p w:rsidR="007F452D" w:rsidRDefault="006007DF">
      <w:pPr>
        <w:spacing w:after="0" w:line="240" w:lineRule="auto"/>
        <w:ind w:right="52"/>
        <w:contextualSpacing/>
        <w:jc w:val="both"/>
        <w:rPr>
          <w:rFonts w:ascii="Arial" w:eastAsia="Cambria" w:hAnsi="Arial" w:cs="Arial"/>
          <w:sz w:val="24"/>
          <w:szCs w:val="24"/>
        </w:rPr>
      </w:pPr>
      <w:r>
        <w:rPr>
          <w:rFonts w:ascii="Arial" w:eastAsia="Cambria" w:hAnsi="Arial" w:cs="Arial"/>
          <w:sz w:val="24"/>
          <w:szCs w:val="24"/>
        </w:rPr>
        <w:lastRenderedPageBreak/>
        <w:t>Ein zeitlich paralleles Vorgehen soll für den Bau- und Verkehrssektor erfolgen. Damit schaffen wir die Grundlagen dafür, dass die Sektorziele 2030 erreicht werden. Auf dieser Grundlage wollen wir ein Gesetz verabschieden, das die Einhaltung der Klimaschutzziele 2030 gewährleistet. Wir werden 2019 eine rechtlich verbindliche Umsetzung verabschieden.</w:t>
      </w:r>
    </w:p>
    <w:p w:rsidR="007F452D" w:rsidRDefault="007F452D">
      <w:pPr>
        <w:spacing w:after="0" w:line="240" w:lineRule="auto"/>
        <w:ind w:right="52"/>
        <w:contextualSpacing/>
        <w:jc w:val="both"/>
        <w:rPr>
          <w:rFonts w:ascii="Arial" w:eastAsia="Cambria" w:hAnsi="Arial" w:cs="Arial"/>
          <w:sz w:val="24"/>
          <w:szCs w:val="24"/>
        </w:rPr>
      </w:pPr>
    </w:p>
    <w:p w:rsidR="007F452D" w:rsidRDefault="006007DF">
      <w:pPr>
        <w:tabs>
          <w:tab w:val="left" w:pos="820"/>
        </w:tabs>
        <w:spacing w:after="0" w:line="240" w:lineRule="auto"/>
        <w:ind w:right="55"/>
        <w:contextualSpacing/>
        <w:jc w:val="both"/>
        <w:rPr>
          <w:rFonts w:ascii="Arial" w:eastAsia="Cambria" w:hAnsi="Arial" w:cs="Arial"/>
          <w:sz w:val="24"/>
          <w:szCs w:val="24"/>
        </w:rPr>
      </w:pPr>
      <w:r>
        <w:rPr>
          <w:rFonts w:ascii="Arial" w:eastAsia="Cambria" w:hAnsi="Arial" w:cs="Arial"/>
          <w:sz w:val="24"/>
          <w:szCs w:val="24"/>
        </w:rPr>
        <w:t>Der Bund wird sich mit den betroffenen Regionen auch über die Fortführung der Braunkohlesanierung nach 2022 abstimmen.</w:t>
      </w:r>
    </w:p>
    <w:p w:rsidR="007F452D" w:rsidRDefault="007F452D">
      <w:pPr>
        <w:tabs>
          <w:tab w:val="left" w:pos="820"/>
        </w:tabs>
        <w:spacing w:after="0" w:line="240" w:lineRule="auto"/>
        <w:ind w:right="55"/>
        <w:contextualSpacing/>
        <w:jc w:val="both"/>
        <w:rPr>
          <w:rFonts w:ascii="Arial" w:eastAsia="Cambria" w:hAnsi="Arial" w:cs="Arial"/>
          <w:sz w:val="24"/>
          <w:szCs w:val="24"/>
        </w:rPr>
      </w:pPr>
    </w:p>
    <w:p w:rsidR="007F452D" w:rsidRDefault="006007DF">
      <w:pPr>
        <w:spacing w:after="0" w:line="240" w:lineRule="auto"/>
        <w:ind w:right="52"/>
        <w:contextualSpacing/>
        <w:jc w:val="both"/>
        <w:rPr>
          <w:rFonts w:ascii="Arial" w:eastAsia="Cambria" w:hAnsi="Arial" w:cs="Arial"/>
          <w:sz w:val="24"/>
          <w:szCs w:val="24"/>
        </w:rPr>
      </w:pPr>
      <w:r>
        <w:rPr>
          <w:rFonts w:ascii="Arial" w:eastAsia="Cambria" w:hAnsi="Arial" w:cs="Arial"/>
          <w:sz w:val="24"/>
          <w:szCs w:val="24"/>
        </w:rPr>
        <w:t xml:space="preserve">Die Nationale Klimaschutzinitiative wird fortgesetzt. </w:t>
      </w:r>
    </w:p>
    <w:p w:rsidR="007F452D" w:rsidRDefault="007F452D">
      <w:pPr>
        <w:spacing w:after="0" w:line="240" w:lineRule="auto"/>
        <w:ind w:right="52"/>
        <w:contextualSpacing/>
        <w:jc w:val="both"/>
        <w:rPr>
          <w:rFonts w:ascii="Arial" w:eastAsia="Cambria" w:hAnsi="Arial" w:cs="Arial"/>
          <w:sz w:val="24"/>
          <w:szCs w:val="24"/>
        </w:rPr>
      </w:pPr>
    </w:p>
    <w:p w:rsidR="007F452D" w:rsidRDefault="006007DF">
      <w:pPr>
        <w:spacing w:after="0" w:line="240" w:lineRule="auto"/>
        <w:ind w:right="54"/>
        <w:contextualSpacing/>
        <w:jc w:val="both"/>
        <w:rPr>
          <w:rFonts w:ascii="Arial" w:eastAsia="Cambria" w:hAnsi="Arial" w:cs="Arial"/>
          <w:sz w:val="24"/>
          <w:szCs w:val="24"/>
        </w:rPr>
      </w:pPr>
      <w:r>
        <w:rPr>
          <w:rFonts w:ascii="Arial" w:eastAsia="Cambria" w:hAnsi="Arial" w:cs="Arial"/>
          <w:sz w:val="24"/>
          <w:szCs w:val="24"/>
        </w:rPr>
        <w:t>Den EU-Emissionshandel wollen wir als Leitinstrument weiter stärken. Unser Ziel ist ein CO</w:t>
      </w:r>
      <w:r>
        <w:rPr>
          <w:rFonts w:ascii="Arial" w:eastAsia="Cambria" w:hAnsi="Arial" w:cs="Arial"/>
          <w:sz w:val="24"/>
          <w:szCs w:val="24"/>
          <w:vertAlign w:val="subscript"/>
        </w:rPr>
        <w:t>2</w:t>
      </w:r>
      <w:r>
        <w:rPr>
          <w:rFonts w:ascii="Arial" w:eastAsia="Cambria" w:hAnsi="Arial" w:cs="Arial"/>
          <w:sz w:val="24"/>
          <w:szCs w:val="24"/>
        </w:rPr>
        <w:t>-Bepreisungssytem, das nach Möglichkeit global ausgerichtet ist, jedenfalls aber die G20-Staaten umfasst. Wir werden die Impulse der gemeinsamen Resolu</w:t>
      </w:r>
      <w:r>
        <w:rPr>
          <w:rFonts w:ascii="Arial" w:eastAsia="Cambria" w:hAnsi="Arial" w:cs="Arial"/>
          <w:sz w:val="24"/>
          <w:szCs w:val="24"/>
        </w:rPr>
        <w:softHyphen/>
        <w:t>tion von Assemblée nationale und Deutschem Bundestag zum 55. Jahrestag des Élysée-Vertrags am 22. Januar 2018 aufgreifen und im Rahmen der deutsch-franzö</w:t>
      </w:r>
      <w:r>
        <w:rPr>
          <w:rFonts w:ascii="Arial" w:eastAsia="Cambria" w:hAnsi="Arial" w:cs="Arial"/>
          <w:sz w:val="24"/>
          <w:szCs w:val="24"/>
        </w:rPr>
        <w:softHyphen/>
        <w:t xml:space="preserve">sischen Freundschaft die enge Zusammenarbeit bei der Umsetzung des Pariser Klimaschutzabkommens von 2015 und der Verpflichtungen des „One Planet </w:t>
      </w:r>
      <w:r w:rsidR="0098725B">
        <w:rPr>
          <w:rFonts w:ascii="Arial" w:eastAsia="Cambria" w:hAnsi="Arial" w:cs="Arial"/>
          <w:sz w:val="24"/>
          <w:szCs w:val="24"/>
        </w:rPr>
        <w:br/>
      </w:r>
      <w:r>
        <w:rPr>
          <w:rFonts w:ascii="Arial" w:eastAsia="Cambria" w:hAnsi="Arial" w:cs="Arial"/>
          <w:sz w:val="24"/>
          <w:szCs w:val="24"/>
        </w:rPr>
        <w:t>Sum</w:t>
      </w:r>
      <w:r>
        <w:rPr>
          <w:rFonts w:ascii="Arial" w:eastAsia="Cambria" w:hAnsi="Arial" w:cs="Arial"/>
          <w:sz w:val="24"/>
          <w:szCs w:val="24"/>
        </w:rPr>
        <w:softHyphen/>
        <w:t xml:space="preserve">mit" von 2017 fortsetzen. </w:t>
      </w:r>
    </w:p>
    <w:p w:rsidR="007F452D" w:rsidRDefault="007F452D">
      <w:pPr>
        <w:spacing w:after="0" w:line="240" w:lineRule="auto"/>
        <w:ind w:right="54"/>
        <w:contextualSpacing/>
        <w:jc w:val="both"/>
        <w:rPr>
          <w:rFonts w:ascii="Arial" w:eastAsia="Cambria" w:hAnsi="Arial" w:cs="Arial"/>
          <w:sz w:val="24"/>
          <w:szCs w:val="24"/>
        </w:rPr>
      </w:pPr>
    </w:p>
    <w:p w:rsidR="007F452D" w:rsidRDefault="006007DF">
      <w:pPr>
        <w:spacing w:after="0" w:line="240" w:lineRule="auto"/>
        <w:ind w:right="54"/>
        <w:contextualSpacing/>
        <w:jc w:val="both"/>
        <w:rPr>
          <w:rFonts w:ascii="Arial" w:eastAsia="Cambria" w:hAnsi="Arial" w:cs="Arial"/>
          <w:sz w:val="24"/>
          <w:szCs w:val="24"/>
        </w:rPr>
      </w:pPr>
      <w:r>
        <w:rPr>
          <w:rFonts w:ascii="Arial" w:eastAsia="Cambria" w:hAnsi="Arial" w:cs="Arial"/>
          <w:sz w:val="24"/>
          <w:szCs w:val="24"/>
        </w:rPr>
        <w:t>Wir gewährleisten die internationale Wettbewerbsfähigkeit insbesondere energieintensiver Industrien, sichern damit unsere integrierten Wertschöpfungsketten und sorgen für einen umfassenden Schutz vor carbon leakage.</w:t>
      </w:r>
    </w:p>
    <w:p w:rsidR="007F452D" w:rsidRDefault="007F452D">
      <w:pPr>
        <w:spacing w:after="0" w:line="240" w:lineRule="auto"/>
        <w:ind w:right="54"/>
        <w:contextualSpacing/>
        <w:jc w:val="both"/>
        <w:rPr>
          <w:rFonts w:ascii="Arial" w:eastAsia="Cambria" w:hAnsi="Arial" w:cs="Arial"/>
          <w:sz w:val="24"/>
          <w:szCs w:val="24"/>
        </w:rPr>
      </w:pPr>
    </w:p>
    <w:p w:rsidR="007F452D" w:rsidRDefault="006007DF">
      <w:pPr>
        <w:spacing w:after="0" w:line="240" w:lineRule="auto"/>
        <w:ind w:right="54"/>
        <w:contextualSpacing/>
        <w:jc w:val="both"/>
        <w:rPr>
          <w:rFonts w:ascii="Arial" w:eastAsia="Cambria" w:hAnsi="Arial" w:cs="Arial"/>
          <w:sz w:val="24"/>
          <w:szCs w:val="24"/>
        </w:rPr>
      </w:pPr>
      <w:bookmarkStart w:id="67" w:name="_30j0zll" w:colFirst="0" w:colLast="0"/>
      <w:bookmarkEnd w:id="67"/>
      <w:r>
        <w:rPr>
          <w:rFonts w:ascii="Arial" w:eastAsia="Cambria" w:hAnsi="Arial" w:cs="Arial"/>
          <w:sz w:val="24"/>
          <w:szCs w:val="24"/>
        </w:rPr>
        <w:t>Wir bekennen uns zur deutschen Verantwortung für den internationalen Klimaschutz und sorgen für einen weiteren Aufwuchs der internationalen Klimaschutzfinanzierung durch Deutschland im Rahmen der Erhöhung der ODA-Mittel.</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8"/>
        </w:numPr>
        <w:contextualSpacing/>
        <w:jc w:val="both"/>
        <w:rPr>
          <w:szCs w:val="24"/>
        </w:rPr>
      </w:pPr>
      <w:bookmarkStart w:id="68" w:name="_Toc505767189"/>
      <w:r>
        <w:rPr>
          <w:rStyle w:val="xxt"/>
          <w:szCs w:val="24"/>
        </w:rPr>
        <w:t>Raumordnung</w:t>
      </w:r>
      <w:bookmarkEnd w:id="68"/>
      <w:r>
        <w:rPr>
          <w:rStyle w:val="xxt"/>
          <w:szCs w:val="24"/>
        </w:rPr>
        <w:t xml:space="preserve"> </w:t>
      </w:r>
    </w:p>
    <w:p w:rsidR="007F452D" w:rsidRDefault="006007DF" w:rsidP="00F709A3">
      <w:pPr>
        <w:spacing w:after="0" w:line="240" w:lineRule="auto"/>
        <w:contextualSpacing/>
        <w:jc w:val="both"/>
        <w:rPr>
          <w:rFonts w:ascii="Arial" w:eastAsiaTheme="majorEastAsia" w:hAnsi="Arial" w:cs="Arial"/>
          <w:b/>
          <w:bCs/>
          <w:sz w:val="24"/>
          <w:szCs w:val="24"/>
        </w:rPr>
      </w:pPr>
      <w:r>
        <w:rPr>
          <w:rFonts w:ascii="Arial" w:hAnsi="Arial" w:cs="Arial"/>
          <w:sz w:val="24"/>
          <w:szCs w:val="24"/>
        </w:rPr>
        <w:t>Bis 2021 werden wir auch die Raumordnungspläne für die Außenwirtschaftszonen in Nord- und Ostsee anpassen, um vor dem Hintergrund der zu erwartenden klimatischen Veränderungen die nachhaltige Nutzung der Meere sicherzustellen.</w:t>
      </w:r>
      <w:r>
        <w:rPr>
          <w:rFonts w:ascii="Arial" w:hAnsi="Arial" w:cs="Arial"/>
          <w:sz w:val="24"/>
          <w:szCs w:val="24"/>
        </w:rPr>
        <w:br w:type="page"/>
      </w:r>
    </w:p>
    <w:p w:rsidR="007F452D" w:rsidRDefault="006007DF">
      <w:pPr>
        <w:pStyle w:val="berschrift1"/>
        <w:numPr>
          <w:ilvl w:val="0"/>
          <w:numId w:val="14"/>
        </w:numPr>
        <w:ind w:left="426" w:hanging="142"/>
        <w:contextualSpacing/>
      </w:pPr>
      <w:bookmarkStart w:id="69" w:name="_Toc505767190"/>
      <w:r>
        <w:lastRenderedPageBreak/>
        <w:t>Deutschlands Verantwortung für Frieden, Freiheit und Sicherheit in der Welt</w:t>
      </w:r>
      <w:bookmarkEnd w:id="69"/>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Deutsche Außenpolitik ist dem Frieden verpflichtet und fest in den Vereinten Nationen und der Europäischen Union verankert. Wir setzen uns für eine dauerhaft friedliche, stabile und gerechte Ordnung in der Welt ein. Gemeinsam mit unseren Partnern verfolgen wir einen umfassenden und vernetzten Ansatz. Dabei setzen wir auf Diplomatie, Dialog und Kooperation sowie Entwicklungszusammenarbeit. In diesem Rahmen bleibt die Bundeswehr – wie im Weißbuch von 2016 dargelegt – ein unverzichtbarer Bestandteil deutscher Sicherheitspolitik. Unsere Politik basiert auf unseren Werten und dient unseren Interessen.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In den vergangenen Jahren ist die Welt unberechenbarer und unsicherer geworden – auch für Deutschland und Europa. Internationale Ordnungen und fundamentale</w:t>
      </w:r>
      <w:r>
        <w:rPr>
          <w:rFonts w:ascii="Arial" w:hAnsi="Arial" w:cs="Arial"/>
          <w:b/>
          <w:sz w:val="24"/>
          <w:szCs w:val="24"/>
        </w:rPr>
        <w:t xml:space="preserve"> </w:t>
      </w:r>
      <w:r>
        <w:rPr>
          <w:rFonts w:ascii="Arial" w:hAnsi="Arial" w:cs="Arial"/>
          <w:sz w:val="24"/>
          <w:szCs w:val="24"/>
        </w:rPr>
        <w:t>Prinzipien wie Multilateralismus, das Völkerrecht und die universelle Gültigkeit von Menschenrechten sind unter Druck und drohen zu erodieren. Die Folgen des Klimawandels, Risiken von Handelskriegen, Rüstungswettläufen und bewaffneten Konflikten, Instabilität im Nahen und Mittleren Osten, Fluchtbewegungen, sowie neue aggressive Nationalismen innerhalb und außerhalb Europas fordern uns heraus und wirken bis in unsere Gesellschaften hinein.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In dieser Lage ist es die überragende Aufgabe deutscher Politik, auf Regeln basierende internationale Kooperationen, Institutionen und Organisationen als Grundlage von Frieden, Sicherheit und Stabilität zu stärken und weiterzuentwickeln. Unser Ziel ist eine gerechte Gestaltung der Globalisierung im Sinne der Agenda 2030, die allen Menschen ein Leben in Würde und Sicherheit bietet. Wir setzen auf starke Partnerschaften und Allianzen. Dabei steht die Stärkung gemeinsamen europäischen Handelns und der Gestaltungskraft der EU im Mittelpunkt.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Europa wird nur dann politisch und wirtschaftlich erfolgreich sein, wenn es seiner Verantwortung in der Welt gerecht wird. Europa nutzt heute sein politisches und wirtschaftliches Potenzial zu wenig und mit zu geringem Selbstbewusstsein. Wir brauchen eine neue Kultur der Verantwortung, die die Glaubwürdigkeit Europas als Partner in der westlichen Welt erhöht und unsere Position gegenüber aufstrebenden Mächten stärkt.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In dieser Lage verfolgt Deutschland zwei zentrale Ziele: Europa muss international eigenständiger und handlungsfähiger werden. Gleichzeitig wollen wir die Bindung an die USA festigen. Wir wollen transatlantisch bleiben und europäischer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brauchen eine entschlossene und substanzielle Außen-, Sicherheits-, Entwicklungs- und Menschenrechtspolitik aus einem Guss. Wir wollen die dafür zur Verfügung stehenden Mittel deutlich stärken, um die immensen internationalen Herausforderungen zu bewältigen.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Zunahme von weltweiten Krisen stellt auch Deutschland vor enorme Herausforderungen – sowohl in der Außen- und Verteidigungspolitik wie in der Entwicklungszusammenarbeit. Unser Land wird gemeinsam mit unseren Nachbarn in Europa in Zukunft mehr eigene Verantwortung für seine Sicherheit und Verteidigungsfähigkeit übernehmen müssen. Zugleich werden wir noch mehr als bisher bei gemeinsamen Initiativen in den Vereinten Nationen, in der EU oder auch im bilateralen Verhältnis zu </w:t>
      </w:r>
      <w:r>
        <w:rPr>
          <w:rFonts w:ascii="Arial" w:hAnsi="Arial" w:cs="Arial"/>
          <w:sz w:val="24"/>
          <w:szCs w:val="24"/>
        </w:rPr>
        <w:lastRenderedPageBreak/>
        <w:t>anderen Staaten gefordert werden. Humanitäre Hilfe zu leisten bei Krieg, Bürgerkrieg, Hunger und Not gehört zu unserem politischen Selbstverständnis. Aber wir verfolgen dabei auch ein umfassendes Konzept für Sicherheit. Wir wissen, dass militärische Mittel zur Abwehr von Gewalt und Terror notwendig sein können. Zugleich wissen wir aber auch, dass für eine Befriedung von Konflikten insbesondere die nachhaltige Schaffung von Lebensperspektiven in den betroffenen Ländern von zen-traler Bedeutung ist. Dies gilt insbesondere für junge Menschen. Deshalb will Deutschland die für diese Aufgaben bereitgestellten Mittel angemessen erhöhen.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Im Rahmen der jährlichen Haushaltsaufstellung ab 2018 bis 2021 wird die Koalition zusätzlich entstehende Haushaltsspielräume prioritär dazu nutzen, neben den Verteidigungsausgaben zugleich die Mittel für Krisenprävention, humanitäre Hilfe, auswärtige Kultur- und Bildungspolitik und Entwicklungszusammenarbeit ausgehend von der Grundlage des 51. Finanzplans angemessen zu erhöhen im Verhältnis von 1:1 beim Verteidigungshaushalt zu Ausgaben im Rahmen der ODA-Quote (Krisenprävention, humanitäre Hilfe, Auswärtige Kultur- und Bildungspolitik und Entwicklungszusammenarbeit). Diese Erhöhungen dienen der Schließung von Fähigkeitslücken der Bundeswehr und der Stärkung der europäischen Zusammenarbeit im Verteidigungsbereich wie auch gleichermaßen der Stärkung der zivilen Instrumente der Außenpolitik und Entwicklungszusammenarbeit im Rahmen einer umfassenden gemeinsamen Friedens- und Sicherheitspolitik. Deutschland wird verbindlich mit dieser Haushaltspolitik und der Koppelung von Verteidigungsausgaben und ODA-quotenfähigen Ausgaben sowohl dem Zielkorridor der Vereinbarungen in der NATO folgen als auch den internationalen Verpflichtungen zur weiteren Steigerung der </w:t>
      </w:r>
      <w:r>
        <w:rPr>
          <w:rFonts w:ascii="Arial" w:hAnsi="Arial" w:cs="Arial"/>
          <w:sz w:val="24"/>
          <w:szCs w:val="24"/>
        </w:rPr>
        <w:br/>
        <w:t>ODA-Quote nachkommen, deren beider Absinken bereits 2018 verhindert werden muss.</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weitere (nicht ODA-quotenfähige) angemessene Mittelausstattung des Auswärtigen Dienstes einschließlich des Konsularwesens, z. B. zum Schutz der Auslandsvertretungen, zur vollständigen Umsetzung des Gesetzes über den Auswärtigen Dienst, sowie für den Aufbau einer einheitlichen Auslands-IT für alle Bundesbehörden, insbesondere die diplomatischen Auslandsvertretungen, bleibt davon unberührt.</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6"/>
        </w:numPr>
      </w:pPr>
      <w:bookmarkStart w:id="70" w:name="_Toc505767191"/>
      <w:r>
        <w:t>Europäische Außen- und Sicherheitspolitik</w:t>
      </w:r>
      <w:bookmarkEnd w:id="70"/>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eine Europäische Union, die nach </w:t>
      </w:r>
      <w:r w:rsidR="006F111E">
        <w:rPr>
          <w:rFonts w:ascii="Arial" w:hAnsi="Arial" w:cs="Arial"/>
          <w:sz w:val="24"/>
          <w:szCs w:val="24"/>
        </w:rPr>
        <w:t xml:space="preserve">innen </w:t>
      </w:r>
      <w:r>
        <w:rPr>
          <w:rFonts w:ascii="Arial" w:hAnsi="Arial" w:cs="Arial"/>
          <w:sz w:val="24"/>
          <w:szCs w:val="24"/>
        </w:rPr>
        <w:t>erfolgreich ist und zugleich in der globalisierten Welt unsere Interessen wahrt und mit unseren Werten überzeugt. Hierzu braucht sie eine kraftvolle gemeinsame Außen-, Sicherheits-, Verteidigungs- und Entwicklungspolitik, die weit intensiver als bisher mit einer Stimme spricht und mit gut ausgestatteten und aufeinander abgestimmten zivilen und militärischen Instrumenten arbeitet.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Dafür müssen die außenpolitischen Entscheidungsmechanismen innerhalb der EU fortentwickelt werden. Analog zur Ständigen Strukturierten Zusammenarbeit im militärischen Bereich (PESCO) wollen wir auch im zivilen Bereich eine vergleichbare Struktur schaffen und werden hierzu eine Initiative anstoßen. Ebenso notwendig ist auch die Weiterentwicklung der Strukturen der EU-Entwicklungspolitik.</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die Europäische Verteidigungsunion mit Leben füllen. Dabei werden wir die in die PESCO eingebrachten Projekte vorantreiben und das neue Instrument des Europäischen Verteidigungsfonds nutzen. Wir setzen </w:t>
      </w:r>
      <w:r>
        <w:rPr>
          <w:rFonts w:ascii="Arial" w:hAnsi="Arial" w:cs="Arial"/>
          <w:bCs/>
          <w:sz w:val="24"/>
          <w:szCs w:val="24"/>
        </w:rPr>
        <w:t xml:space="preserve">uns für ein angemessen ausgestattetes </w:t>
      </w:r>
      <w:r>
        <w:rPr>
          <w:rFonts w:ascii="Arial" w:hAnsi="Arial" w:cs="Arial"/>
          <w:sz w:val="24"/>
          <w:szCs w:val="24"/>
        </w:rPr>
        <w:t xml:space="preserve">Hauptquartier der EU zur Führung der zivilen und militärischen Missionen </w:t>
      </w:r>
      <w:r>
        <w:rPr>
          <w:rFonts w:ascii="Arial" w:hAnsi="Arial" w:cs="Arial"/>
          <w:sz w:val="24"/>
          <w:szCs w:val="24"/>
        </w:rPr>
        <w:lastRenderedPageBreak/>
        <w:t>ein</w:t>
      </w:r>
      <w:r>
        <w:rPr>
          <w:rFonts w:ascii="Arial" w:hAnsi="Arial" w:cs="Arial"/>
          <w:bCs/>
          <w:sz w:val="24"/>
          <w:szCs w:val="24"/>
        </w:rPr>
        <w:t xml:space="preserve">. </w:t>
      </w:r>
      <w:r>
        <w:rPr>
          <w:rFonts w:ascii="Arial" w:hAnsi="Arial" w:cs="Arial"/>
          <w:sz w:val="24"/>
          <w:szCs w:val="24"/>
        </w:rPr>
        <w:t>Wir wollen, dass die Planungsprozesse innerhalb der EU effizienter abgestimmt und mit denen der NATO harmonisiert werden. Auch im Rahmen dieser Kooperation bleibt die Bundeswehr eine Parlamentsarmee. Wir werden weitere Schritte auf dem Weg zu einer „Armee der Europäer“ unternehmen.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Gemeinsam mit Frankreich werden wir die vereinbarten Projekte des deutsch-französischen Arbeitsplans („Feuille de Route“) engagiert fortsetzen. Gleiches gilt für die deutsch-niederländische und die deutsch-norwegische Kooperationen, die wir ausbauen wollen.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Damit die Fähigkeits- und Rüstungskooperation innerhalb Europas künftig effizienter wird, wollen wir in Zukunft militärische Fähigkeiten stärker gemeinsam planen, entwickeln, beschaffen und betreiben. Dabei soll ein einheitliches Design auf Basis einheitlicher Fähigkeitsforderungen entwickelt werden und ein Staat die Federführung der Umsetzung des Projektes übernehmen. Ferner soll die Wertschöpfung dort erfolgen, wo die beste unternehmerische und technologische Kompetenz in Industrie und Mittelstand liegt.</w:t>
      </w:r>
    </w:p>
    <w:p w:rsidR="007F452D" w:rsidRDefault="007F452D">
      <w:pPr>
        <w:spacing w:after="0" w:line="240" w:lineRule="auto"/>
        <w:contextualSpacing/>
        <w:jc w:val="both"/>
        <w:rPr>
          <w:rFonts w:ascii="Arial" w:hAnsi="Arial" w:cs="Arial"/>
          <w:sz w:val="24"/>
          <w:szCs w:val="24"/>
        </w:rPr>
      </w:pPr>
    </w:p>
    <w:p w:rsidR="007F452D" w:rsidRDefault="006007DF">
      <w:pPr>
        <w:pStyle w:val="berschrift3"/>
      </w:pPr>
      <w:r>
        <w:t xml:space="preserve">Außen-, sicherheits- und entwicklungspolitische Handlungs- und Strategiefähigkeit sicherstellen </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Angesichts der internationalen Herausforderungen muss Deutschland seine Kapazitäten zur strategischen Analyse stärken und seine strategische Kommunikation intensivieren. Deshalb wird die Bundesregierung in den Ausbau des außen-, sicherheits- und entwicklungspolitischen Sachverstands investieren und bestehende Einrichtungen wie die Bundesakademie für Sicherheitspolitik (BAKS), das Deutsche Institut für Entwicklungspolitik (DIE), die Deutsche Gesellschaft für Auswärtige Politik (DGAP), die Deutsche Stiftung Friedensforschung (DSF), das German Institute of Global and Area Studies (GIGA), die Hessische Stiftung Friedens- und Konfliktforschung (HSFK), das Institut für Friedensforschung und Sicherheitspolitik Hamburg (IFSH), die Münchner Sicherheitskonferenz (MSC), das Zentrum für Osteuropa- und internationale Studien (ZOIS) und die Stiftung Wissenschaft und Politik (SWP) stärken.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Zur Stärkung europäischer Handlungsfähigkeit wollen wir die Idee eines „European Council on Global Responsibilities“ unterstützen, die in EU-Mitgliedstaaten wie Frankreich und Polen diskutiert wird. Der Council soll als unabhängige Institution Initiativen formulieren, die Europas Wettbewerbs- und Innovationsfähigkeit ermutigen und dazu beitragen, unsere Interessen bei der Gestaltung einer neuen Weltordnung selbstbewusster zur Geltung zu bringen.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rsidP="00F709A3">
      <w:pPr>
        <w:tabs>
          <w:tab w:val="num" w:pos="0"/>
        </w:tabs>
        <w:spacing w:after="0" w:line="240" w:lineRule="auto"/>
        <w:contextualSpacing/>
        <w:jc w:val="both"/>
        <w:rPr>
          <w:rFonts w:ascii="Arial" w:hAnsi="Arial" w:cs="Arial"/>
          <w:sz w:val="24"/>
          <w:szCs w:val="24"/>
        </w:rPr>
      </w:pPr>
      <w:r>
        <w:rPr>
          <w:rFonts w:ascii="Arial" w:hAnsi="Arial" w:cs="Arial"/>
          <w:sz w:val="24"/>
          <w:szCs w:val="24"/>
        </w:rPr>
        <w:t>Die Ertüchtigung von Partnern in fragilen Regionen ist ein zentrales Ziel deutscher Sicherheitspolitik. Wir wollen darum den nationalen, von Auswärtigem Amt und Bundesministerium der Verteidigung verantworteten Mittelansatz ausbauen und auch weiterhin den Bedarf unserer Partner an Beratung, Ausbildung und Ausstattung abdecken. Wir setzen uns dafür ein, dass für Ertüchtigungsprojekte im Sicherheitsbereich auf EU-Ebene (CBSD) rasch ein gesondertes Finanzinstrument außerhalb der EU-Entwicklungsfinanzierung eingerichtet wird.</w:t>
      </w:r>
      <w:r>
        <w:rPr>
          <w:rFonts w:ascii="Arial" w:hAnsi="Arial" w:cs="Arial"/>
          <w:sz w:val="24"/>
          <w:szCs w:val="24"/>
        </w:rPr>
        <w:br w:type="page"/>
      </w:r>
    </w:p>
    <w:p w:rsidR="007F452D" w:rsidRDefault="006007DF">
      <w:pPr>
        <w:pStyle w:val="berschrift2"/>
        <w:numPr>
          <w:ilvl w:val="1"/>
          <w:numId w:val="16"/>
        </w:numPr>
      </w:pPr>
      <w:bookmarkStart w:id="71" w:name="_Toc505767192"/>
      <w:r>
        <w:lastRenderedPageBreak/>
        <w:t>Internationale und europäische Bündnisse und Partnerschaften</w:t>
      </w:r>
      <w:bookmarkEnd w:id="71"/>
    </w:p>
    <w:p w:rsidR="007F452D" w:rsidRDefault="007F452D" w:rsidP="0098725B">
      <w:pPr>
        <w:spacing w:after="0" w:line="240" w:lineRule="auto"/>
      </w:pPr>
    </w:p>
    <w:p w:rsidR="007F452D" w:rsidRDefault="006007DF">
      <w:pPr>
        <w:pStyle w:val="berschrift3"/>
      </w:pPr>
      <w:r>
        <w:t>Vereinte Nationen stärken</w:t>
      </w:r>
    </w:p>
    <w:p w:rsidR="007F452D" w:rsidRDefault="006007DF">
      <w:pPr>
        <w:spacing w:after="0" w:line="240" w:lineRule="auto"/>
        <w:contextualSpacing/>
        <w:jc w:val="both"/>
        <w:rPr>
          <w:rFonts w:ascii="Arial" w:eastAsia="Calibri" w:hAnsi="Arial" w:cs="Arial"/>
          <w:sz w:val="24"/>
          <w:szCs w:val="24"/>
        </w:rPr>
      </w:pPr>
      <w:r>
        <w:rPr>
          <w:rFonts w:ascii="Arial" w:eastAsia="Calibri" w:hAnsi="Arial" w:cs="Arial"/>
          <w:sz w:val="24"/>
          <w:szCs w:val="24"/>
        </w:rPr>
        <w:t>Die Vereinten Nationen (VN) sind Fundament einer regelbasierten Internationalen Ordnung. Deutschland will mehr Verantwortung für Frieden und Sicherheit übernehmen, auch mit Übernahme eines ständigen Sitzes im Sicherheitsrat. Für die Jahre 2019/2020 streben wir einen nicht-ständigen Sitz im Sicherheitsrat an. Für die Zukunft streben wir einen ständigen Sitz der Europäischen Union an.</w:t>
      </w:r>
    </w:p>
    <w:p w:rsidR="007F452D" w:rsidRDefault="007F452D">
      <w:pPr>
        <w:spacing w:after="0" w:line="240" w:lineRule="auto"/>
        <w:contextualSpacing/>
        <w:jc w:val="both"/>
        <w:rPr>
          <w:rFonts w:ascii="Arial" w:eastAsia="Calibri" w:hAnsi="Arial" w:cs="Arial"/>
          <w:sz w:val="24"/>
          <w:szCs w:val="24"/>
        </w:rPr>
      </w:pPr>
    </w:p>
    <w:p w:rsidR="007F452D" w:rsidRDefault="006007DF">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Wir sind bereit, unsere freiwilligen VN-Beiträge strategischer auszurichten und zu erhöhen. Wir werden die Vereinten Nationen weiterhin in der Friedenssicherung engagiert und verlässlich unterstützen, indem wir insbesondere Hochwertfähigkeiten für Friedensmissionen nach dem Rotationsprinzip bereitstellen. Zudem wollen wir den VN-Standort Bonn auf Grundlage eines neuen Gaststaatsgesetzes stärken.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pPr>
      <w:r>
        <w:t>Transatlantische Partnerschaft als Werte- und Interessengemeinschaft festigen</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Mit den USA und Kanada verbindet uns eine starke Werte- und Interessengemeinschaft. Nur gemeinsam können wir die Herausforderungen in unserer Nachbarschaft und die der Globalisierung bewältigen. Davon lassen wir uns in unseren Beziehungen leiten. Diese bleiben auch wirtschaftlich von herausragender Bedeutung für Wohlstand und Wettbewerbsfähigkeit für Deutschland und Europa.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Die USA durchlaufen einen tiefgreifenden Wandel, der uns vor große Herausforderungen stellt. Darauf werden wir unsere Politik entsprechend ausrichten. Wir wollen darauf mit Dialog und verstärkten Kooperationsangeboten reagieren. Wir setzen uns für einen offenen, intensiven Dialog mit der US-Administration, dem Kongress und Vertretern der US-Bundesstaaten ein und intensivieren unsere Anstrengungen, deutschen und europäischen Positionen in Washington Gehör zu verschaffen. Hierzu gehört eine stärkere, regelmäßige Präsenz deutscher und europäischer Entscheidungsträgerinnen und Entscheidungsträger in den USA.</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Um das gegenseitige Verständnis und Vertrauen der kommenden Generationen ineinander zu festigen, streben wir einen intensiveren Austausch mit der amerikanischen Bevölkerung auch außerhalb der politischen und wirtschaftlichen Zentren der USA an, und wir wollen gezielt Institutionen fördern, die eine Plattform für diesen Dialog bieten.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Wir werden das Deutschlandjahr in den USA in den Jahren 2018/2019 nutzen, um den gesellschaftlichen Dialog in aller Breite zu verstärken und die Kontaktmöglichkeiten auszubauen.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wollen faire und belastbare Handelsbeziehungen zu den USA. Protektionismus ist nicht der richtige Weg.</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pPr>
      <w:r>
        <w:t>Deutschland als verlässlicher Partner in NATO, OSZE und Europarat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NATO bleibt unverzichtbarer Garant und ist Fundament unserer Sicherheit. Deutschland ist und bleibt ein verlässlicher Partner in der Allianz.</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den europäischen Beitrag zur transatlantischen Partnerschaft stärken und setzen uns für eine engere Zusammenarbeit der NATO und der EU ein. Wir wollen die vereinbarten NATO-Fähigkeitsziele erreichen und Fähigkeitslücken schließen.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 xml:space="preserve">Deutschland wird auch künftig einen angemessenen Beitrag zum Erhalt der Abschreckungs- und Verteidigungsfähigkeit des Bündnisses und zu einer starken europäischen Verteidigung leisten. Zugleich bleibt die NATO dialogbereit.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begrüßen die Wiederaufnahme von regelmäßigen Konsultationen im Rahmen des NATO-Russland-Rats und werden uns auch künftig dafür einsetzen, dieses Instrument verstärkt zur Vertrauensbildung und Konfliktreduzierung zu nutzen.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OSZE</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bekräftigen die zentrale Rolle der Organisation für Sicherheit und Zusammenarbeit in Europa (OSZE) für die gesamteuropäische Sicherheit und Vertrauensbildung und für die Beilegung bewaffneter Konflikte in Europa. Wir setzen uns für eine Stärkung der Sonderbeobachtermission SMM als zentrales Element zur Umsetzung der Minsker Vereinbarungen in der Ukraine ein.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Europarat</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Gerade in einer Zeit neuer Herausforderungen wollen wir, dass der Europarat Hüter und Bewahrer elementarer Grund- und Menschenrechte bleibt. Für die effiziente Bewältigung der Aufgaben benötigt er eine ausreichende finanzielle Grundlage, zu der wir beitragen wollen. Wir wirken daran mit, dass eine klare wertebasierte Arbeit des Europarats stets möglich ist. Die gleichberechtigte Mitarbeit aller Mitglieder ist langfristig unser Ziel.</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6"/>
        </w:numPr>
      </w:pPr>
      <w:bookmarkStart w:id="72" w:name="_Toc505767193"/>
      <w:r>
        <w:t>Abrüstung und restriktive Rüstungsexportpolitik</w:t>
      </w:r>
      <w:bookmarkEnd w:id="72"/>
    </w:p>
    <w:p w:rsidR="007F452D" w:rsidRDefault="006007DF">
      <w:pPr>
        <w:spacing w:after="0" w:line="240" w:lineRule="auto"/>
        <w:contextualSpacing/>
        <w:jc w:val="both"/>
        <w:rPr>
          <w:rFonts w:ascii="Arial" w:eastAsia="Calibri" w:hAnsi="Arial" w:cs="Arial"/>
          <w:sz w:val="24"/>
          <w:szCs w:val="24"/>
        </w:rPr>
      </w:pPr>
      <w:r>
        <w:rPr>
          <w:rFonts w:ascii="Arial" w:hAnsi="Arial" w:cs="Arial"/>
          <w:sz w:val="24"/>
          <w:szCs w:val="24"/>
        </w:rPr>
        <w:t xml:space="preserve">Rüstungskontrolle und Abrüstung bleiben prioritäre Ziele deutscher Außen- und Sicherheitspolitik. Wir wollen ein neues konventionelles und nukleares Wettrüsten auf unserem Kontinent vermeiden. </w:t>
      </w:r>
      <w:r>
        <w:rPr>
          <w:rFonts w:ascii="Arial" w:eastAsia="Calibri" w:hAnsi="Arial" w:cs="Arial"/>
          <w:sz w:val="24"/>
          <w:szCs w:val="24"/>
        </w:rPr>
        <w:t>Deutschland wird deshalb neue Initiativen für Rüstungskontrolle und Abrüstung ergreifen. Wir setzen uns entschlossen für die weltweite verifizierbare Abrüstung von allen Massenvernichtungswaffen ein.</w:t>
      </w:r>
    </w:p>
    <w:p w:rsidR="007F452D" w:rsidRDefault="007F452D">
      <w:pPr>
        <w:spacing w:after="0" w:line="240" w:lineRule="auto"/>
        <w:contextualSpacing/>
        <w:jc w:val="both"/>
        <w:rPr>
          <w:rFonts w:ascii="Arial" w:eastAsia="Calibri"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Ziel unserer Politik ist eine nuklearwaffenfreie Welt. </w:t>
      </w:r>
      <w:r>
        <w:rPr>
          <w:rFonts w:ascii="Arial" w:eastAsia="Calibri" w:hAnsi="Arial" w:cs="Arial"/>
          <w:sz w:val="24"/>
          <w:szCs w:val="24"/>
        </w:rPr>
        <w:t>Wir unterstützen daher regionale Initiativen für Zonen, die frei von Massenvernichtungswaffen sind.</w:t>
      </w:r>
      <w:r>
        <w:rPr>
          <w:rFonts w:ascii="Arial" w:hAnsi="Arial" w:cs="Arial"/>
          <w:sz w:val="24"/>
          <w:szCs w:val="24"/>
        </w:rPr>
        <w:t xml:space="preserve"> Wir setzen auf die Einhaltung und einen stetigen und verantwortlichen Ausbau der Nichtverbreitungs- und Kontrollregime.</w:t>
      </w:r>
    </w:p>
    <w:p w:rsidR="007F452D" w:rsidRDefault="007F452D">
      <w:pPr>
        <w:spacing w:after="0" w:line="240" w:lineRule="auto"/>
        <w:contextualSpacing/>
        <w:jc w:val="both"/>
        <w:rPr>
          <w:rFonts w:ascii="Arial" w:eastAsia="Calibri"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Im nuklearen Bereich setzen wir uns für die strikte Einhaltung des INF-Vertrages (Intermediate Range Nuclear Forces) ein. Eine vollständige Überprüfbarkeit ist </w:t>
      </w:r>
      <w:r w:rsidR="006F111E">
        <w:rPr>
          <w:rFonts w:ascii="Arial" w:hAnsi="Arial" w:cs="Arial"/>
          <w:sz w:val="24"/>
          <w:szCs w:val="24"/>
        </w:rPr>
        <w:t>essenziell</w:t>
      </w:r>
      <w:r>
        <w:rPr>
          <w:rFonts w:ascii="Arial" w:hAnsi="Arial" w:cs="Arial"/>
          <w:sz w:val="24"/>
          <w:szCs w:val="24"/>
        </w:rPr>
        <w:t>. Ein russischer Vertragsbruch, für den es begründete Sorgen gibt, hätte erhebliche Auswirkungen, weil derartige Waffen jedes Ziel in Europa erreichen könnten.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eastAsia="Calibri" w:hAnsi="Arial" w:cs="Arial"/>
          <w:sz w:val="24"/>
          <w:szCs w:val="24"/>
        </w:rPr>
      </w:pPr>
      <w:r>
        <w:rPr>
          <w:rFonts w:ascii="Arial" w:eastAsia="Calibri" w:hAnsi="Arial" w:cs="Arial"/>
          <w:sz w:val="24"/>
          <w:szCs w:val="24"/>
        </w:rPr>
        <w:t>Solange Kernwaffen als Instrument der Abschreckung im Strategischen Konzept der NATO eine Rolle spielen, hat Deutschland ein Interesse daran, an den strategischen Diskussionen und Planungsprozessen teilzuhaben. Erfolgreiche Abrüstungsgespräche schaffen die Voraussetzung für einen Abzug der in Deutschland und Europa stationierten taktischen Nuklearwaffen.</w:t>
      </w:r>
    </w:p>
    <w:p w:rsidR="007F452D" w:rsidRDefault="007F452D">
      <w:pPr>
        <w:spacing w:after="0" w:line="240" w:lineRule="auto"/>
        <w:contextualSpacing/>
        <w:jc w:val="both"/>
        <w:rPr>
          <w:rFonts w:ascii="Arial" w:eastAsia="Calibri" w:hAnsi="Arial" w:cs="Arial"/>
          <w:sz w:val="24"/>
          <w:szCs w:val="24"/>
        </w:rPr>
      </w:pPr>
    </w:p>
    <w:p w:rsidR="007F452D" w:rsidRDefault="006007DF">
      <w:pPr>
        <w:spacing w:after="0" w:line="240" w:lineRule="auto"/>
        <w:contextualSpacing/>
        <w:jc w:val="both"/>
        <w:rPr>
          <w:rFonts w:ascii="Arial" w:eastAsia="Calibri" w:hAnsi="Arial" w:cs="Arial"/>
          <w:sz w:val="24"/>
          <w:szCs w:val="24"/>
        </w:rPr>
      </w:pPr>
      <w:r>
        <w:rPr>
          <w:rFonts w:ascii="Arial" w:eastAsia="Calibri" w:hAnsi="Arial" w:cs="Arial"/>
          <w:sz w:val="24"/>
          <w:szCs w:val="24"/>
        </w:rPr>
        <w:t>Wir wollen den „Strukturierten Dialog“ der OSZE intensivieren, um Bedrohungsperzeptionen zu erörtern, Sicherheitskooperation wiederzubeleben und die konventionelle Rüstungskontrolle zu stärken.</w:t>
      </w:r>
    </w:p>
    <w:p w:rsidR="007F452D" w:rsidRDefault="007F452D">
      <w:pPr>
        <w:spacing w:after="0" w:line="240" w:lineRule="auto"/>
        <w:contextualSpacing/>
        <w:jc w:val="both"/>
        <w:rPr>
          <w:rFonts w:ascii="Arial" w:eastAsia="Calibri" w:hAnsi="Arial" w:cs="Arial"/>
          <w:sz w:val="24"/>
          <w:szCs w:val="24"/>
        </w:rPr>
      </w:pPr>
    </w:p>
    <w:p w:rsidR="007F452D" w:rsidRDefault="006007DF">
      <w:pPr>
        <w:spacing w:after="0" w:line="240" w:lineRule="auto"/>
        <w:contextualSpacing/>
        <w:jc w:val="both"/>
        <w:rPr>
          <w:rFonts w:ascii="Arial" w:eastAsia="Calibri" w:hAnsi="Arial" w:cs="Arial"/>
          <w:sz w:val="24"/>
          <w:szCs w:val="24"/>
        </w:rPr>
      </w:pPr>
      <w:r>
        <w:rPr>
          <w:rFonts w:ascii="Arial" w:eastAsia="Calibri" w:hAnsi="Arial" w:cs="Arial"/>
          <w:sz w:val="24"/>
          <w:szCs w:val="24"/>
        </w:rPr>
        <w:lastRenderedPageBreak/>
        <w:t>Wir setzen uns dafür ein, dass der Einsatz von Explosivwaffen in dicht besiedelten Gebieten, wie wir ihn mit der grausamen Kriegsführung mit Fassbomben in Syrien erleben mussten, in aller Deutlichkeit geächtet wird.</w:t>
      </w:r>
    </w:p>
    <w:p w:rsidR="007F452D" w:rsidRDefault="007F452D">
      <w:pPr>
        <w:spacing w:after="0" w:line="240" w:lineRule="auto"/>
        <w:contextualSpacing/>
        <w:jc w:val="both"/>
        <w:rPr>
          <w:rFonts w:ascii="Arial" w:eastAsia="Calibri" w:hAnsi="Arial" w:cs="Arial"/>
          <w:sz w:val="24"/>
          <w:szCs w:val="24"/>
        </w:rPr>
      </w:pPr>
    </w:p>
    <w:p w:rsidR="007F452D" w:rsidRDefault="006007DF">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Autonome Waffensysteme, die der Verfügung des Menschen entzogen sind, lehnen wir ab. Wir wollen sie weltweit ächten. </w:t>
      </w:r>
    </w:p>
    <w:p w:rsidR="007F452D" w:rsidRDefault="007F452D">
      <w:pPr>
        <w:spacing w:after="0" w:line="240" w:lineRule="auto"/>
        <w:contextualSpacing/>
        <w:jc w:val="both"/>
        <w:rPr>
          <w:rFonts w:ascii="Arial" w:eastAsia="Calibri" w:hAnsi="Arial" w:cs="Arial"/>
          <w:sz w:val="24"/>
          <w:szCs w:val="24"/>
        </w:rPr>
      </w:pPr>
    </w:p>
    <w:p w:rsidR="007F452D" w:rsidRDefault="006007DF">
      <w:pPr>
        <w:spacing w:after="0" w:line="240" w:lineRule="auto"/>
        <w:contextualSpacing/>
        <w:jc w:val="both"/>
        <w:rPr>
          <w:rFonts w:ascii="Arial" w:eastAsia="Calibri" w:hAnsi="Arial" w:cs="Arial"/>
          <w:sz w:val="24"/>
          <w:szCs w:val="24"/>
        </w:rPr>
      </w:pPr>
      <w:r>
        <w:rPr>
          <w:rFonts w:ascii="Arial" w:eastAsia="Calibri" w:hAnsi="Arial" w:cs="Arial"/>
          <w:sz w:val="24"/>
          <w:szCs w:val="24"/>
        </w:rPr>
        <w:t>Deutschland wird auch künftig für die Einbeziehung bewaffneter unbemannter Luftfahrzeuge in internationale Abrüstungs- und Rüstungskontrollregime eintreten.</w:t>
      </w:r>
    </w:p>
    <w:p w:rsidR="007F452D" w:rsidRDefault="007F452D">
      <w:pPr>
        <w:spacing w:after="0" w:line="240" w:lineRule="auto"/>
        <w:contextualSpacing/>
        <w:jc w:val="both"/>
        <w:rPr>
          <w:rFonts w:ascii="Arial" w:eastAsia="Calibri" w:hAnsi="Arial" w:cs="Arial"/>
          <w:sz w:val="24"/>
          <w:szCs w:val="24"/>
        </w:rPr>
      </w:pPr>
    </w:p>
    <w:p w:rsidR="007F452D" w:rsidRDefault="006007DF">
      <w:pPr>
        <w:pStyle w:val="berschrift3"/>
        <w:contextualSpacing/>
        <w:rPr>
          <w:rFonts w:cs="Arial"/>
          <w:szCs w:val="24"/>
        </w:rPr>
      </w:pPr>
      <w:r>
        <w:rPr>
          <w:rFonts w:cs="Arial"/>
          <w:szCs w:val="24"/>
        </w:rPr>
        <w:t>Für eine restriktive Rüstungsexportpolitik</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schränken die Rüstungsexporte für Drittländer weiter ein, die weder NATO noch EU-Mitgliedsländer sind, noch diesen gleichgestellt. Ergänzend zu den Kleinwaffengrundsätzen vom Mai 2015 sollen Kleinwaffen grundsätzlich nicht mehr in Drittländer exportiert werden. Wir schärfen noch im Jahr 2018 die Rüstungssexportrichtlinien aus dem Jahr 2000 und reagieren damit auf die veränderten Gegebenheiten.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ab sofort keine Ausfuhren an Länder genehmigen, solange diese unmittelbar am Jemen-Krieg beteiligt sind. Firmen erhalten Vertrauensschutz, sofern sie nachweisen, dass bereits genehmigte Lieferungen ausschließlich im Empfängerland verbleiben. Wir wollen diese restriktive Exportpolitik mit Blick auf den Jemen auch mit unseren Partnern im Bereich der europäischen Gemeinschaftsprojekte verabreden.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Auf dieser Basis streben wir ebenfalls eine gemeinsame europäische Rüstungsexportpolitik an und wollen den gemeinsamen Standpunkt der EU fortentwickeln.</w:t>
      </w:r>
    </w:p>
    <w:p w:rsidR="007F452D" w:rsidRDefault="007F452D">
      <w:pPr>
        <w:spacing w:after="0" w:line="240" w:lineRule="auto"/>
        <w:contextualSpacing/>
        <w:jc w:val="both"/>
        <w:rPr>
          <w:rFonts w:ascii="Arial" w:eastAsia="Calibri" w:hAnsi="Arial" w:cs="Arial"/>
          <w:sz w:val="24"/>
          <w:szCs w:val="24"/>
        </w:rPr>
      </w:pPr>
    </w:p>
    <w:p w:rsidR="007F452D" w:rsidRDefault="006007DF">
      <w:pPr>
        <w:pStyle w:val="berschrift2"/>
        <w:numPr>
          <w:ilvl w:val="1"/>
          <w:numId w:val="16"/>
        </w:numPr>
      </w:pPr>
      <w:bookmarkStart w:id="73" w:name="_Toc505767194"/>
      <w:r>
        <w:t>Bilaterale und regionale Zusammenarbeit in Europa und der Welt</w:t>
      </w:r>
      <w:bookmarkEnd w:id="73"/>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Westlicher Balkan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stehen zur EU-Beitrittsperspektive der Staaten des </w:t>
      </w:r>
      <w:r w:rsidR="006F111E">
        <w:rPr>
          <w:rFonts w:ascii="Arial" w:hAnsi="Arial" w:cs="Arial"/>
          <w:sz w:val="24"/>
          <w:szCs w:val="24"/>
        </w:rPr>
        <w:t xml:space="preserve">westlichen </w:t>
      </w:r>
      <w:r>
        <w:rPr>
          <w:rFonts w:ascii="Arial" w:hAnsi="Arial" w:cs="Arial"/>
          <w:sz w:val="24"/>
          <w:szCs w:val="24"/>
        </w:rPr>
        <w:t>Balkans. Es ist Voraussetzung für die Aufnahme von Beitrittsverhandlungen bzw. einen EU-Beitritt, dass die Staaten der Region die dafür vorgesehenen Kriterien vollständig erfüllen. Dazu gehören insbesondere umfassende, nachhaltige und unumkehrbare Reformen beim Aufbau von Rechtsstaatlichkeit und bei der Bekämpfung von Organisierter Kriminalität und Korruption.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uns dafür ein, die Reformbemühungen der Westbalkan-Staaten noch stärker als bisher zu unterstützen. Darüber hinaus wird die Bundesregierung die Zusammenarbeit innerhalb der Region, insbesondere im Rahmen des „Berliner Prozesses“, auch in Zukunft entschieden unterstützen.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Russland</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Deutschland hat ein nachdrückliches Interesse an guten Beziehungen zu Russland und an enger Zusammenarbeit zur Sicherung von Frieden und zur Regelung wichtiger internationaler Herausforderungen.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Russland ist unser größter europäischer Nachbar, mit dem wir Frieden in Europa, die Integrität nationaler Grenzen und die Souveränität aller Staaten nur auf Grundlage der OSZE-Prinzipien garantieren wollen. Es besteht im wirtschaftlichen Austausch ein großes Potenzial und im zivilgesellschaftlichen Bereich ein starkes Kooperationsinteresse.</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Deshalb bedauern wir, dass Russlands Politik, einschließlich der Menschenrechtslage, einen erheblichen Rückschritt bedeutet. Russland verletzt durch seine völkerrechtswidrige Krim-Annexion und das Eingreifen im Osten der Ukraine die europäische Friedensordnung. Diese gegenwärtige russische Außenpolitik verlangt von uns besondere Achtsamkeit und Resilienz.</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Deutschland und Frankreich werden sich weiter intensiv für die Lösung des Konflikts in der Ostukraine und die Umsetzung der Minsker Vereinbarungen einsetzen. Im Mittelpunkt dieser Anstrengungen stehen zunächst die Einhaltung des Waffenstillstands im Osten der Ukraine und der Rückzug aller schweren Waffen und aller bewaffneten Einheiten aus diesem Gebiet. Diese Entwicklungen sollen durch eine Mission der Vereinten Nationen abgesichert werden. Sowohl Russland als auch die Ukraine müssen ihre Verpflichtungen aus den Minsker Vereinbarungen erfüllen.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Bei Umsetzung der Minsker Vereinbarungen sind wir zu einem Abbau der Sanktionen bereit und werden darüber einen Dialog mit unseren europäischen Partnern führen.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halten an der Vision eines gemeinsamen Wirtschaftsraums von Lissabon bis Wladiwostok fest. Beide Seiten und ganz Europa können davon profitieren.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Ziel unserer Politik gegenüber Russland bleibt eine Rückkehr zu auf gegenseitigem Vertrauen und friedlichem Interessenausgleich basierenden Beziehungen, die wieder eine enge Partnerschaft ermöglichen.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zivilgesellschaftliche Zusammenarbeit mit den Ländern der Östlichen Partnerschaft und mit Russland, u. a. im Petersburger Dialog, stärken und wollen die Mittel dafür erhöhen.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Ukraine</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die Ukraine bei der Wiederherstellung voller territorialer Integrität sowie Stärkung der Stabilität und gesellschaftlicher Fortentwicklung engagiert unterstützen. Wir erwarten und fördern die konsequente Implementierung der Reformagenda in der Ukraine, insbesondere die Bekämpfung der Korruption, mit dem Ziel einer umfassenden Modernisierung des Landes. Unsere Finanztransfers werden wir nur unter strikten Konditionalitäten gewähren.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Deutschland ist bereit, sich substanziell am Wiederaufbau des Donbass zu beteiligen, sobald wesentliche Fortschritte bei der Umsetzung der Minsker Vereinbarungen dies ermöglichen.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Türkei</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Türkei ist ein wichtiger Partner Deutschlands und Nachbar der EU, zu dem wir vielfältige Beziehungen haben. Deshalb haben wir ein besonderes Interesse an einem guten Verhältnis zur Türkei.</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Lage der Demokratie, von Rechtsstaatlichkeit und Menschenrechten in der Türkei hat sich seit längerem verschlechtert. Deshalb wollen wir bei den Beitrittsverhandlungen keine Kapitel schließen und keine neuen öffnen.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Visa-Liberalisierung oder eine Erweiterung der Zollunion sind erst dann möglich, wenn die Türkei die notwendigen Voraussetzungen erfüllt.</w:t>
      </w:r>
    </w:p>
    <w:p w:rsidR="007F452D" w:rsidRDefault="007F452D">
      <w:pPr>
        <w:spacing w:after="0" w:line="240" w:lineRule="auto"/>
        <w:contextualSpacing/>
        <w:jc w:val="both"/>
        <w:rPr>
          <w:rFonts w:ascii="Arial" w:hAnsi="Arial" w:cs="Arial"/>
          <w:b/>
          <w:sz w:val="24"/>
          <w:szCs w:val="24"/>
        </w:rPr>
      </w:pPr>
    </w:p>
    <w:p w:rsidR="007F452D" w:rsidRDefault="006007DF">
      <w:pPr>
        <w:pStyle w:val="berschrift3"/>
        <w:contextualSpacing/>
        <w:rPr>
          <w:rFonts w:cs="Arial"/>
          <w:szCs w:val="24"/>
        </w:rPr>
      </w:pPr>
      <w:r>
        <w:rPr>
          <w:rFonts w:cs="Arial"/>
          <w:szCs w:val="24"/>
        </w:rPr>
        <w:t xml:space="preserve">Region des Nahen und Mittleren Ostens, Golfregion und Nordafrika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bekennen uns zu der besonderen Verantwortung Deutschlands gegenüber Israel als jüdischem und demokratischem Staat und dessen Sicherheit. Das Existenzrecht Israels ist für uns unumstößlich und ein Pfeiler deutscher Politik. Unser Ziel ist ein Leben aller Menschen im Nahen und Mittleren Osten ohne Angst und in Würde.</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Deutschland wird sich weiter für eine Lösung des Nahostkonflikts auf Basis einer Zweistaatenlösung einsetzen. Der Status von Jerusalem wird genauso wie andere abschließende Statusthemen erst im Zuge von Verhandlungen geklärt werden, um dauerhaft akzeptiert und haltbar zu sein. Die aktuelle Siedlungspolitik Israels widerspricht geltendem Völkerrecht und findet nicht unsere Unterstützung, weil sie eine Zwei-Staatenlösung erschwert.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in der EU eine Initiative sowohl zur ausreichenden und nachhaltigen Finanzierung als auch der Reform des Hilfswerks der Vereinten Nationen für Palästina-Flüchtlinge im Nahen Osten (UNRWA) ergreifen. Zugleich verurteilen wir jegliche Aufrufe zu Gewalt und Hetze. Das Existenzrecht Israels darf nicht in Frage gestellt werden. Wir fordern, dass Handlungen, egal von welcher Seite, die einer endgültigen Friedenslösung entgegenstehen, sofort beendet werden. In den palästinensischen Gebieten sind auf allen Ebenen demokratische Fortschritte nötig.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Der Nahe und Mittlere Osten ist von politischer Instabilität, innerstaatlichen Konflikten und regionalen Spannungen geprägt. Der Krieg in Syrien ist nicht beendet, der Terror des IS ist nicht überwunden. Diese Krisen betreffen Deutschland und Europa direkt durch Fluchtbewegungen sowie durch Terroranschläge.</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Es ist unser zentrales Interesse, den politischen Prozess zur Überwindung des syrischen Konflikts in Zusammenarbeit mit den internationalen Partnern mitzugestalten. Dabei halten wir am Prinzip der territorialen Integrität Syriens und des Iraks fest. Wir sind bereit, unser stabilisierendes, humanitäres und entwicklungspolitisches Engagement in beiden Staaten weiter zu intensivieren. Deutschland wird sich u. a. auch durch den Ausbau freiwilliger Rückkehrprogramme dafür engagieren, dass die Menschen wieder in ihre Heimat zurückkehren können.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in diesem Rahmen auch unser Engagement im Rahmen der Anti-IS-Koalition fortsetzen und anpassen.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unsere Anstrengungen fortsetzen, Spannungen und Rivalitäten innerhalb der Region abzubauen. Dort, wo unsere Partner in der Region Reformen zur Modernisierung und Öffnung voranbringen (z. B. „Vision 2030“ in Saudi-Arabien), begrüßen wir dies. Gleichzeitig erwarten wir insbesondere die Verbesserung der besorgniserregenden Menschenrechtslage.</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uns dafür ein, dass die Nuklearvereinbarung mit Iran (JCPOA) bewahrt und vollständig umgesetzt wird. Dazu gehört u. a. die strikte Beachtung ihrer nukleartechnischen Bestimmungen ebenso wie der Abbau spezifischer Hindernisse, die die wirtschaftliche Aktivität Irans belasten.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Die Rolle Irans im Nahen- und Mittleren Osten bleibt problematisch. Wir haben Sorge wegen des ballistischen Raketenprogramms und Irans Aktivitäten in seiner Nachbarschaft. Hierzu wollen wir gemeinsam mit unseren Partnern Politikansätze entwickeln.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In Ländern wie Jordanien, Libanon, Ägypten und Tunesien werden wir die wirtschaftliche und politische Stabilisierung fördern und die Resilienz gegen Gefahren terroristischer Strukturen stärken. Zudem werden wir die Einheitsregierung Libyens und den dortigen VN-Prozess und Institutionenaufbau auch im Rechtsbereich unterstützen.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Afrika</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In keiner Region der Welt zeigen sich die Veränderungen der internationalen Politik so drastisch wie in Afrika. Die partnerschaftliche Zusammenarbeit mit den Staaten Afrikas ist eine zentrale Aufgabe unserer Zeit. Es liegt in unserem eigenen wirtschaftspolitischen, sicherheitspolitischen und migrationspolitischen Interesse, zu einem Abbau des Entwicklungs- und Wohlstandsgefälles beizutragen.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Unsere Afrika-Politik folgt inzwischen einem breiten Ansatz, an dem mehrere Ressorts beteiligt sind. Das wird seinen Ausdruck auch in der Fortschreibung und Weiterentwicklung unserer afrikapolitischen Leitlinien finden, an der alle betroffenen Ressorts unter Federführung des Auswärtigen Amtes beteiligt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Aufbauend auf den Weichenstellungen der vergangenen Legislaturperiode müssen wir durch entschlossene, weitreichende Maßnahmen in zentralen Bereichen unsere – deutschen wie europäischen – Handlungsansätze ausbauen: mit neuen Ansätzen für gute Regierungsführung, für den Auf- und Ausbau der afrikanischen Friedens- und Sicherheitsarchitektur, bei der Förderung von nachhaltigen und entwicklungsfördernden Privatinvestitionen, dem Aufbau der Infrastruktur, unserer Unterstützung im Bildungssektor und bei der Schaffung menschenwürdiger Arbeit sowie bei der Förderung im Bereich der Sicherheitssektoren.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Anstrengungen der Afrikanischen Union (AU) und regionaler Organisationen zur verstärkten Integration wollen wir, auch finanziell, unterstützen.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Gemeinsam mit unseren europäischen Partnern werden wir die Zusammenarbeit mit der Region der G5 Sahel im Rahmen eines umfassenden Politikansatzes die zivile und sicherheitspolitische Zusammenarbeit intensivieren. Wir unterstützen den Aufbau der neu gegründeten Eingreiftruppe der G5-Sahel-Staaten.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Lateinamerika</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Lateinamerika und Europa haben vieles gemeinsam und teilen strategische Interessen. Wir wollen insbesondere unsere Handelsbeziehungen intensivieren und dabei die laufenden Verhandlungen der EU mit Mexiko und dem MERCOSUR zu einem baldigen Abschluss bringen. Neben Handelsfragen sind für uns Klimapolitik, Umweltschutz, soziale Gerechtigkeit, eine faire Globalisierung sowie Sicherheit und Frieden zentrale Punkte unserer Kooperation.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Asien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ungebrochene Dynamik Asiens bietet weiterhin große Chancen für Deutschland und Europa. Gleichzeitig zeichnen sich in der Region massive Veränderungen der internationalen Ordnung ab. Asien birgt durch eine Vielzahl ungelöster Konflikte gro</w:t>
      </w:r>
      <w:r>
        <w:rPr>
          <w:rFonts w:ascii="Arial" w:hAnsi="Arial" w:cs="Arial"/>
          <w:sz w:val="24"/>
          <w:szCs w:val="24"/>
        </w:rPr>
        <w:lastRenderedPageBreak/>
        <w:t>ßes Konfliktpotenzial. Wir setzen uns daher ein für ein starkes wirtschafts-, gesellschafts- und sicherheitspolitisches Engagement Deutschlands und Europas in Asien.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unsere seit Jahrzehnten mit Japan bestehende enge und bewährte Freundschaft und Wertepartnerschaft pflegen und weiterentwickeln. Dies gilt auch für Südkorea.</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Aufgrund Indiens geostrategischer Lage, seiner Größe und seiner dynamischen Entwicklung haben wir ein herausragendes Interesse an der Vertiefung unserer strategischen Partnerschaft.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Chinas Politik und künftige Entwicklung ist auch für uns von großer Bedeutung. Seine geostrategische Rolle wird weiter wachsen. Dazu werden wir unsere strategische Partnerschaft ausbauen. Chinas ökonomische Entwicklung ist besonders für die deutsche Wirtschaft eine große Chance. Zugleich verlangt die Gestaltung unserer Beziehungen große Aufmerksamkeit. Deutschland und Europa müssen bei der Öffnung ihrer Märkte auf das Prinzip der Gegenseitigkeit setzen und definieren, wo unsere gemeinsamen strategischen Interessen liegen und wie sie gesichert werden können. Exemplarisch für Chancen und Risiken steht die Seidenstraßen-Initiative Chinas. Wir wollen hierzu eine europäische Antwort entwickeln, um unsere Interessen zu wahren, und deutsche und europäische Finanzinstrumente besser ausstatten und bündeln.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Zugleich werden wir im Dialog mit China angesichts der vielfältigen chinesischen Macht- und Einflussprojektionen die Bedeutung einer regelbasierten internationalen Ordnung für Stabilität und eine funktionierende Weltwirtschaft betonen. Dabei werden wir ebenso auf Wahrung von Menschenrechten und Rechtsstaatlichkeit beharren.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Nordkoreas militärisches Nuklearprogramm ist aktuell eine der größten Gefahren für den Weltfrieden. Deshalb ist das Land zu Recht mit Sanktionen belegt. Wir sind davon überzeugt, dass es nur eine diplomatische Lösung geben kann.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Afghanistan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sind überzeugt, dass Afghanistan weiter unterstützt werden muss, damit es zukünftig mit funktionierenden Sicherheitsstrukturen selbst für Sicherheit im eigenen Land sorgen kann. Unser Ziel ist ein afghanisch geführter Friedens- und Versöhnungsprozess und eine konstruktive Einbindung der regionalen Akteure, insbesondere Pakistans. Wir sind bereit, gemeinsam und in Abstimmung mit unseren Verbündeten unser ziviles und auch unser militärisches Engagement insbesondere im Norden des Landes fortsetzen.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6"/>
        </w:numPr>
      </w:pPr>
      <w:bookmarkStart w:id="74" w:name="_Toc505767195"/>
      <w:r>
        <w:t>Außenwirtschaftspolitik sowie Auswärtige Kultur- und Bildungspolitik</w:t>
      </w:r>
      <w:bookmarkEnd w:id="74"/>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Deutschlands Wirtschaftskraft ist die Grundlage für unseren Wohlstand und zugleich Voraussetzung für unser außenpolitisches Gewicht. Die Stärke der deutschen Wirtschaft beruht auf ihrer hohen Wettbewerbsfähigkeit und internationalen Verflechtung.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In den nächsten Jahren wird sich entscheiden, welche Standards und Regeln in Handel, Klima- und Energiepolitik die internationale Ordnung prägen werden. Internationale Handels- und Wirtschaftspolitik hat in Zeiten von zunehmendem Protektionismus eine gestiegene außenpolitische Bedeutung. Deshalb wollen wir die zentra</w:t>
      </w:r>
      <w:r>
        <w:rPr>
          <w:rFonts w:ascii="Arial" w:hAnsi="Arial" w:cs="Arial"/>
          <w:sz w:val="24"/>
          <w:szCs w:val="24"/>
        </w:rPr>
        <w:lastRenderedPageBreak/>
        <w:t xml:space="preserve">len Institutionen eines regelbasierten, multilateralen Wirtschafts- und Handelssystems wie Welthandelsorganisation, OECD und Internationale Energieagentur, Internationaler Währungsfonds und die Weltbank stärken und weitere Freihandelsabkommen mit hohen, verbindlichen Standards und unter Einbeziehung der Zivilgesellschaft schließen. </w:t>
      </w:r>
    </w:p>
    <w:p w:rsidR="007F452D" w:rsidRDefault="007F452D">
      <w:pPr>
        <w:spacing w:after="0" w:line="240" w:lineRule="auto"/>
        <w:contextualSpacing/>
        <w:jc w:val="both"/>
        <w:rPr>
          <w:rFonts w:ascii="Arial" w:eastAsia="SimSun" w:hAnsi="Arial" w:cs="Arial"/>
          <w:sz w:val="24"/>
          <w:szCs w:val="24"/>
          <w:lang w:eastAsia="ar-SA"/>
        </w:rPr>
      </w:pPr>
    </w:p>
    <w:p w:rsidR="007F452D" w:rsidRDefault="006007DF">
      <w:pPr>
        <w:pStyle w:val="berschrift3"/>
      </w:pPr>
      <w:r>
        <w:t>Politische Stiftungen unterstützen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politischen Stiftungen leisten einen unverzichtbaren Beitrag zum internationalen Dialog und stärken damit auch das Ansehen der Bundesrepublik Deutschland. Wir wollen die internationale Arbeit der politischen Stiftungen auch in Zukunft unterstützen und rechtlich sichern.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Auswärtige Kultur- und Bildungspolitik ausbauen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Der härter werdende globale Wettbewerb um Köpfe, Ideen und Werte verdeutlicht die wichtige Aufgabe der Auswärtigen Kultur- und Bildungspolitik (AKBP) für Deutschlands Ansehen und Einfluss in der Welt. Sie ist integraler Bestandteil unserer Außenpolitik. Wir wollen in dieser Legislaturperiode die Mittel für die Auswärtige Kultur- und Bildungspolitik erhöhen.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Chancen der AKBP noch besser nutzen, indem wir den internationalen Austausch, insbesondere im Bereich Wissenschaft, Kultur, Bildung, Sprache und Sport ausbauen. Das Netzwerk des Goethe-Instituts soll insbesondere in deutsch-französischer Zusammenarbeit ausgebaut, im digitalen Bereich modernisiert und durch eine Öffnung gegenüber neuen Kooperationsformen weiterentwickelt werden. Das Netzwerk deutscher Auslandsschulen und internationaler Schulpartnerschaften soll ausgebaut und gestärkt werden. Unsere Mittler, wie etwa den Deutschen Akademischen Austauschdienst (DAAD), die Alexander von Humboldt-Stiftung und das Institut für Auslandsbeziehungen, unterstützen wir in ihrem Wirken.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Europa ist auch ein kulturelles Projekt. Deshalb soll die europäische Dimension der AKBP auf allen Ebenen auch mit Blick auf die deutsche Ratspräsidentschaft 2020 noch stärker berücksichtigt werden.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Gerade in Krisengebieten werden wir unseren Einsatz für Kulturgüterschutz und den Erhalt kulturellen Erbes insbesondere durch das Deutsche Archäologische Institut, sowie Programme zum Schutz von verfolgten Künstlern, Wissenschaftlern und Journalisten verstärken.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strategische Auslandskommunikation und insbesondere die Zusammenarbeit mit der Deutschen Welle verstärken und auf die digitale Zukunft ausrichten, um ein realistisches Bild von Deutschland zu befördern. Dies ist auch notwendig, um im Wettbewerb der Narrative und Werte zu bestehen und in verschiedenen Regionen der Welt gegen hybride Informationsverfälschung vorgehen zu können.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kulturelle Zusammenarbeit mit Afrika verstärken und einen stärkeren Kulturaustausch befördern, insbesondere durch die Aufarbeitung des Kolonialismus sowie den Aufbau von Museen und Kultureinrichtungen in Afrika.</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Mittel bereitstellen u. a. für die Ausstellung des Flugzeugs „Landshut“ im Gedenken an die Entführung im Jahr 1977 und für die dringend notwendige Sanierung der Abtei Dormitio in Jerusalem.</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wollen die notwendigen Reformen der UNESCO aktiv unterstützen. Dazu werden wir die Arbeit der Deutschen UNESCO-Kommission weiterentwickeln und sie adäquat ausstatten.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pPr>
      <w:r>
        <w:t>Deutsche Volksgruppen und Minderheiten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deutschen Volksgruppen und Minderheiten sind Teil unserer kulturellen und historischen Identität, bereichern die kulturelle Vielfalt in ihren Ländern und stellen ein wichtiges Band der Verbindung zwischen Deutschland und seinen Partnerländern dar. Wir wollen sie weiter fördern und unterstützen.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6"/>
        </w:numPr>
      </w:pPr>
      <w:bookmarkStart w:id="75" w:name="_Toc505767196"/>
      <w:r>
        <w:t>Menschenrechte, Krisenprävention und humanitäre Hilfe</w:t>
      </w:r>
      <w:bookmarkEnd w:id="75"/>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Menschenrechte sind universell und unteilbar.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wenden uns entschlossen gegen die zunehmende und gezielte Einschränkung von Zivilgesellschaften („Shrinking Spaces“), die sich für Demokratie, Rechtsstaatlichkeit und die Einhaltung der Menschenrechte einsetzen.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treten weiterhin konsequent ein für die Abschaffung der Todesstrafe und das Verbot von Folter, die Stärkung der Rechte von Frauen insbesondere in gewaltsamen Konflikten, den Schutz und die Stärkung von Kinderrechten, für Arbeitnehmerinnen und Arbeitnehmer sowie Gewerkschaftsrechte. Wir kämpfen gegen Menschenhandel, illegalen Organhandel sowie Ausgrenzung und Gewalt aufgrund sexueller Orientierung.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Menschenrechtsschutzmechanismen auf der Ebene der Vereinten Nationen, der Europäischen Union sowie des Europarates wollen wir konsequent stärken. Wir engagieren uns mit Nachdruck für die Arbeit des Internationalen Strafgerichtshofes und der Ad-hoc-Tribunale der Vereinten Nationen sowie deren Unterstützung durch die internationale Staatengemeinschaft und beteiligen uns an der Weiterentwicklung des humanitären Völkerrechts. Wir bekennen uns zur Europäischen Menschenrechtskonvention. Darüber hinaus werden wir die menschenrechtliche Kohärenz zwischen den einzelnen Politikfeldern verbessern und die Menschenrechtsarchitektur in Deutschland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Zum Schutz von verfolgten Parlamentarierinnen und Parlamentariern sowie Menschenrechtsverteidigerinnen und -verteidigern wollen wir das erfolgreiche parlamentarische Patenschaftsprogramm „Parlamentarier schützen Parlamentarier“ des Deutschen Bundestags 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streben die Ratifikation des Zusatzprotokolls zum Sozialpakt der Vereinten Nationen sowie der ILO-Konvention 169 zum Schutz der indigenen Völker an.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Religionsfreiheit ist ein zentrales Menschenrecht, das weltweit zunehmend eingeschränkt oder komplett infrage gestellt wird. Das gilt für zahlreiche religiöse Minderheiten weltweit. Unsere Solidarität gilt allen benachteiligten religiösen Minderheiten. Dazu zählt der beharrliche Einsatz für viele Millionen verfolgter Christinnen und Christen.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werden das Amt der/des Beauftragten der Bundesregierung für weltweite Religionsfreiheit schaffen. Wir werden den Bericht der Bundesregierung zur weltweiten </w:t>
      </w:r>
      <w:r>
        <w:rPr>
          <w:rFonts w:ascii="Arial" w:hAnsi="Arial" w:cs="Arial"/>
          <w:sz w:val="24"/>
          <w:szCs w:val="24"/>
        </w:rPr>
        <w:lastRenderedPageBreak/>
        <w:t>Lage der Religionsfreiheit im zweijährigen Rhythmus und systematischen Länderansatz fortschreiben.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setzen uns für eine konsequente Umsetzung des Nationalen Aktionsplans Wirtschaft und Menschenrechte (NAP) ein, einschließlich des öffentlichen Beschaffungswesens. Falls die wirksame und umfassende Überprüfung des NAP 2020 zu dem Ergebnis kommt, dass die freiwillige Selbstverpflichtung der Unternehmen nicht ausreicht, werden wir national gesetzlich tätig und uns für eine EU-weite Regelung einsetzen. </w:t>
      </w:r>
    </w:p>
    <w:p w:rsidR="007F452D" w:rsidRDefault="007F452D">
      <w:pPr>
        <w:spacing w:after="0" w:line="240" w:lineRule="auto"/>
        <w:contextualSpacing/>
        <w:jc w:val="both"/>
        <w:rPr>
          <w:rFonts w:ascii="Arial" w:hAnsi="Arial" w:cs="Arial"/>
          <w:sz w:val="24"/>
          <w:szCs w:val="24"/>
        </w:rPr>
      </w:pPr>
    </w:p>
    <w:p w:rsidR="007F452D" w:rsidRDefault="006007DF">
      <w:pPr>
        <w:pStyle w:val="berschrift3"/>
      </w:pPr>
      <w:r>
        <w:t>Krisenprävention und humanitäre Hilfe</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werden die im Jahr 2017 beschlossenen Leitlinien für Krisenprävention, Konfliktbearbeitung und Friedensförderung als Referenzrahmen für Deutschlands Engagement zur Krisenverhütung und Friedensförderung konsequent umsetzen.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den zweiten Nationalen Aktionsplan zur VN-Resolution 1325 für eine gleichberechtigte Mitwirkung von Frauen in der Krisenprävention, Konfliktbewältigung und Friedenskonsolidierung um.</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den Zivilen Friedensdienst und das Zentrum für Internationale Friedenseinsätze (ZIF) als Kompetenzzentrum für Friedenseinsätze stärken. Mittelfristig streben wir an, das ZIF auch für Aufbau und Unterhaltung einer kurzfristig verfügbaren zivilen Einsatzreserve zu befähigen.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uns entsprechend der wachsenden Bedeutung humanitärer Hilfe engagieren und diese weiter ausbauen sowie die Wahrung der internationalen humanitären Prinzipien und das VN-System stärken. Dieses ist sowohl im Sinne der konkreten Hilfe zum Überleben von Menschen als auch der Konfliktminimierung. Wir werden die humanitäre Hilfe stärker und effizienter mit den Aufgaben der Krisenprävention, der Stabilisierung, der Katastrophenrisikovorsorge sowie der Friedensförderung abstimmen und in Umsetzung der Beschlüsse des Humanitären Weltgipfels 2016 stärker mit der strukturbildenden Entwicklungszusammenarbeit vernetzen.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16"/>
        </w:numPr>
      </w:pPr>
      <w:bookmarkStart w:id="76" w:name="_Toc505767197"/>
      <w:r>
        <w:t>Moderne Bundeswehr</w:t>
      </w:r>
      <w:bookmarkEnd w:id="76"/>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Die Bundeswehr ist Garant unserer Sicherheit. Gemeinsam mit unseren Partnern leistet sie entscheidende Beiträge zum Schutz und zur Verteidigung unseres Landes und unserer Verbündeten. Innerhalb des umfassenden und vernetzten Ansatzes engagiert sie sich weltweit für Frieden und Sicherheit.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Wir betonen den Charakter der Bundeswehr als Parlamentsarmee. Sie unterliegt der Kontrolle des Deutschen Bundestages, der damit eine besondere Verantwortung für unsere Soldatinnen und Soldaten trägt. Damit die Bundeswehr die ihr erteilten Aufträge in allen Dimensionen sachgerecht erfüllen kann, werden wir den Soldatinnen und Soldaten die bestmögliche Ausrüstung, Ausbildung und Betreuung zur Verfügung stellen – dies gilt insbesondere auch für den Bereich der persönlichen Ausstattung.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Hierzu werden wir die in der Bundeswehr eingeleiteten Trendwenden Personal, Material und Finanzen konsequent fortführen. Dabei erfordert die sicherheitspolitische Lage eine stärkere Akzentuierung der Landes- und Bündnisverteidigung. Die Grundaufstellung der Bundeswehr muss dem Rechnung tragen.</w:t>
      </w:r>
    </w:p>
    <w:p w:rsidR="007F452D" w:rsidRDefault="006007DF">
      <w:pPr>
        <w:pStyle w:val="berschrift3"/>
        <w:contextualSpacing/>
        <w:rPr>
          <w:rFonts w:cs="Arial"/>
          <w:szCs w:val="24"/>
        </w:rPr>
      </w:pPr>
      <w:r>
        <w:rPr>
          <w:rFonts w:cs="Arial"/>
          <w:szCs w:val="24"/>
        </w:rPr>
        <w:lastRenderedPageBreak/>
        <w:t>Aktuelle Auslandseinsätze der Bundeswehr anpassen</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Auslandseinsätze der Bundeswehr erfolgen stets im Rahmen eines politischen Konzepts, das fortlaufender Evaluierung unterliegt.</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Die Bundeswehrmission im Nordirak war erfolgreich, der IS ist dort weitgehend militärisch zurückgedrängt. Deshalb können wir das Ausbildungsmandat im Nordirak auslaufen lassen und beenden. Die Obergrenze des Anti-IS-Mandats zur Unterstützung und Entlastung unserer Verbündeten, insbesondere Frankreichs, kann deutlich abgesenkt werden. In einem weiteren Schritt wollen wir dieses Mandat zur umfassenden Stabilisierung und zur nachhaltigen Bekämpfung des IS-Terrors insbesondere durch capacity building weiterentwickeln.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Unsere Beteiligung am RSM-Mandat (Resolute Support Mission) in Afghanistan wollen wir bei unverändertem Auftrag fortsetzen. Im Rahmen des multilateral vereinbarten Schutzkonzepts für Nordafghanistan werden wir die Zahl der eingesetzten Soldatinnen und Soldaten zum Schutz der Ausbilder erhöhen.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Die UN-mandatierte Mission MINUSMA in Mali wird fortgesetzt. Zur Übernahme der Feldlagerverantwortung von den Niederländern werden wir die Obergrenze im geringen Umfang heraufsetzen.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Für die Menschen in der Bundeswehr – ein attraktiver Arbeitgeber</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Das zentrale Leitbild der Inneren Führung und der Soldatin und des Soldaten als „Staatsbürger in Uniform“ ist und bleibt Maßstab. Diese Fundamente wollen wir mit dem Prozess „Innere Führung heute“ stärken. Die politische Bildung ist dabei von entscheidender Bedeutung. Ein zukunftsweisender Traditionserlass wird vornehmlich die eigene Geschichte der Bundeswehr in den Mittelpunkt stellen.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Kern der Einsatzbereitschaft und aller Fähigkeiten der Bundeswehr ist ausreichendes, qualifiziertes und hochmotiviertes militärisches und ziviles Personal. Deswegen muss die Bundeswehr auch in den kommenden Jahren ein moderner, wettbewerbsfähiger, demografiefester und attraktiver Arbeitgeber bleiben, der jederzeit über entsprechende Kräfte verfügt. Gute Arbeitsbedingungen sind Grundvoraussetzung für arbeitszufriedene und leistungsstarke Soldatinnen und Soldaten sowie zivile Mitarbeiterinnen und Mitarbeiter.</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werden dazu die Gedanken der Agenda Attraktivität und die Personalstrategie der Bundeswehr weiterentwickeln und ihre Wettbewerbsfähigkeit steigern.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Wo dies gesetzgeberisches Handeln erfordert, werden wir noch in diesem Jahr einen Gesetzentwurf zur nachhaltigen Stärkung der personellen Einsatzbereitschaft der Bundeswehr mit dem Ziel vorlegen, die Gehalts- und Besoldungsstrukturen wettbewerbsgerecht zu gestalten, das Dienstrecht zu flexibilisieren, die mit den hohen Mobilitätsanforderungen verbundenen hohen Belastungen besser auszugleichen und eine bessere soziale Absicherung von Bundeswehrangehörigen, insbesondere auch beim Zugang zur Gesetzlichen Krankenversicherung nach Ende der Dienstzeit von Soldatinnen und Soldaten auf Zeit zu erreichen und dadurch Versorgungslücken zu schließen und die Berufsförderung zu stärken.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Unterkünfte müssen bedarfsgerecht auch für nicht unterkunftspflichtige Soldatinnen und Soldaten bereitgestellt werden.</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lastRenderedPageBreak/>
        <w:t>Wir werden die Ausbildungsstrukturen der Bundeswehr sowie ihre Führungs- und Ausbildungskultur in einer „Trendwende Ausbildung“ evaluieren, überprüfen und weiterentwickeln. Dort, wo es sinnvoll ist, wollen wir die Strukturen der bisher in weiten Teilen zentralen Ausbildung wieder in die Truppe zurückführen. Dabei wird der Verteidigungsausschuss eingebunden.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Die Verantwortung des Dienstherrn, dem die Soldatinnen und Soldaten durch einen Diensteid ein Leben lang verbunden sind, endet nicht mit ihrem Ausscheiden aus der Bundeswehr. Dies gilt gleichermaßen für die engsten Angehörigen der Soldatinnen und Soldaten, die im Einsatz für unser Land zu Schaden gekommen sind. Dazu gehört auch, dass Anträge auf Wehrdienstbeschädigung im Rahmen der gesetzlichen Regelungen schnell und unbürokratisch bearbeitet werden.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Für den geleisteten Dienst aller Soldatinnen und Soldaten der Bundeswehr für Frieden und Freiheit gebührt diesen eine besondere gesellschaftliche Anerkennung. Dieser Dank gilt auch den zivilen Mitarbeiterinnen und Mitarbeitern der Bundeswehr.</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Infrastruktur muss insgesamt schnell zur richtigen Zeit am richtigen Ort zur sachgerechten Aufgabenerfüllung zur Verfügung stehen. Dabei arbeitet die Bundeswehr mit den Länderbehörden eng zusammen. Dazu sind Prozesse zu evaluieren, zu optimieren, Zuständigkeiten zu entflechten und die Handlungskompetenz der Bundeswehr zu stärken.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Vor einer endgültigen Abgabe von Liegenschaften der Bundeswehr werden wir vor dem Hintergrund der Trendwenden jeweils noch einmal den zukünftigen Bedarf prüfen. Unseren Bedarf werden wir auch in Hinblick auf Liegenschaften prüfen, deren Abgabe bereits vollzogen ist.</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Die Bundesregierung wird dem Verteidigungsausschuss zeitnah einen umfassenden Bericht zum Militärischen Nachrichtenwesen vorlegen.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Für eine modern ausgerüstete Bundeswehr</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Die Bundeswehr beschafft, was sie braucht, und nicht, was ihr angeboten wird.</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Ein transparentes, effektives und in seinen Prozessen optimiertes Rüstungswesen ist die Grundlage für die bestmögliche Ausrüstung unserer Soldatinnen und Soldaten. Wir werden darum die in der vergangenen Legislaturperiode begonnene Erneuerung, Modernisierung und Erweiterung der Bundeswehr fortführen und dabei für eine Beschleunigung der Prozesse, insbesondere des Beschaffungswesens, sorgen.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Dazu bedarf es einer Anpassung der zum Teil seit Jahrzehnten unveränderten Rahmenbedingungen des Rüstungswesens in Deutschland.</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werden bis Ende 2019 untersuchen, in welcher Weise die Beschaffungsorganisation der Bundeswehr an ihren Standorten in ihrer Organisationsform angepasst werden sollte.</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werden neben der Sicherstellung der nachhaltigen Finanzierung der Bundeswehr die notwendigen Voraussetzungen schaffen zur Gewährleistung überjähriger Planungs- und Finanzierungssicherheit für Rüstungsinvestitionen.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lastRenderedPageBreak/>
        <w:t>Durch die differenzierte Darstellung von Rüstungsprojekten im Haushaltsplan und die halbjährlichen Rüstungsberichte ist die Transparenz für das Parlament deutlich gestiegen.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Um den Bedarf für Einsätze bzw. einsatzgleiche Verpflichtungen schneller decken zu können, werden wir Auslegungshilfen für den Verzicht auf den EU-weiten Teilnahmewettbewerb (§ 12 Vergabeverordnung Verteidigung und Sicherheit) zur Verfügung stellen. Zum Erhalt nationaler Souveränität bei Schlüsseltechnologien werden wir bestehende vergaberechtliche Spielräume konsequenter nutzen, Auslegungshilfen zur Verfügung stellen und prüfen, inwieweit der Ausnahmetatbestand des Art. 346 des Vertrages über die Arbeitsweise der Europäischen Union in der Beschaffungspraxis stärker herangezogen werden kann. Wir werden darüber hinaus notwendige gesetzliche Anpassungen vornehmen.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Zur Sicherstellung technologischer Innovationsführerschaft werden wir unter Federführung des Bundesministeriums der Verteidigung und des Bundesministeriums des Innern eine „Agentur für Disruptive Innovationen in der Cybersicherheit und Schlüsseltechnologien“ (ADIC) sowie einen IT-Sicherheitsfonds zum Schutz sicherheitsrelevanter Schlüsseltechnologien einrichten.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Chancen und Risiken der Digitalisierung sind auch für die Bundeswehr das entscheidende Zukunftsthema. Die Digitalisierung der Bundeswehr ist dabei konsequent zu verfolgen und mit den erforderlichen Ressourcen zu hinterlegen. Kennzeichen der Digitalisierung ist hohes Innovationstempo – diesem gilt es auch in der Bundeswehr gerecht zu werden. Die im Weißbuch 2016 festgelegten Entwicklungslinien der Bundeswehr im Bereich Cybersicherheit werden dabei konsequent weiter verfolgt.</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Wir werden im Rahmen der Europäischen Verteidigungsunion die Entwicklung der Euro-Drohne weiterführen. Als Übergangslösung wird die Drohne HERON TP geleast. Über die Beschaffung von Bewaffnung wird der Deutsche Bundestag nach ausführlicher völkerrechtlicher, verfassungsrechtlicher und ethischer Würdigung gesondert entscheiden. Hierzu wird die Bundesregierung eine gesonderte Vorlage erstellen und dem Deutschen Bundestag zuleiten.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Vor einer zukünftigen Beschaffung von bewaffnungsfertigen Drohnen sind die konzeptionellen Grundlagen für deren Einsatz zu schaffen.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Völkerrechtswidrige Tötungen lehnen wir kategorisch ab, auch durch Drohnen.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2"/>
        <w:numPr>
          <w:ilvl w:val="1"/>
          <w:numId w:val="16"/>
        </w:numPr>
      </w:pPr>
      <w:bookmarkStart w:id="77" w:name="_Toc505767198"/>
      <w:r>
        <w:t>Entwicklungspolitik für eine gerechte Globalisierung</w:t>
      </w:r>
      <w:bookmarkEnd w:id="77"/>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Globalisierung muss gerecht gestaltet werden. Die Schere zwischen arm und reich weltweit darf nicht weiter </w:t>
      </w:r>
      <w:r w:rsidR="006F111E">
        <w:rPr>
          <w:rFonts w:ascii="Arial" w:hAnsi="Arial" w:cs="Arial"/>
          <w:sz w:val="24"/>
          <w:szCs w:val="24"/>
        </w:rPr>
        <w:t>auseinandergehen</w:t>
      </w:r>
      <w:r>
        <w:rPr>
          <w:rFonts w:ascii="Arial" w:hAnsi="Arial" w:cs="Arial"/>
          <w:sz w:val="24"/>
          <w:szCs w:val="24"/>
        </w:rPr>
        <w:t>.</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Unser Auftrag ist die ambitionierte Umsetzung der entwicklungspolitischen Gipfelzusagen (G7 und G20), der Agenda 2030 der Vereinten Nationen mit ihren 17 Nachhaltigkeitszielen und des Pariser Klimaabkommens unter Beteiligung der Zivilgesellschaft.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Die Umsetzung der Agenda 2030 und die Förderung einer nachhaltigen Entwicklung sind Maßstab des Regierungshandelns. Die Nationale Nachhaltigkeitsstrategie wollen wir kontinuierlich und ambitioniert weiterentwickeln. </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lastRenderedPageBreak/>
        <w:t>Um die vor uns liegenden globalen Herausforderungen bewältigen zu können, brauchen wir einen Dreiklang aus öffentlichen Mitteln, nachhaltigen und entwicklungsfördernden Privatinvestitionen und einer neuen fairen Handelspolitik. Eine gute Regierungsführung bei unseren Partnern ist Grundvoraussetzung für das Gelingen.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Wir setzen uns für eine stärkere Berücksichtigung der Interessen der Entwicklungsländer in der internationalen Finanz- und Steuerpolitik ein, für nachhaltige Finanzierungsmechanismen und den Aufbau von effektiven und gerechten Steuersystemen.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Fairer Handel</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Fairer und nachhaltiger Handel braucht gemeinsame Regeln und klare Leitplanken. Der beste Rahmen dafür sind die Vereinten Nationen mit ihren Organisationen für Handel (UNCTAD) und Entwicklung (UNIDO) sowie die Welthandelsorganisation (WTO) und die Internationale Arbeitsorganisation (ILO). Gemeinsam mit unseren Partnern werden wir neue Initiativen für einen entwicklungspolitisch wirksamen Abschluss der WTO-Welthandelsrunde und einen neuen Vorstoß für faire Handelsbeziehungen einbringen.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Wir wollen Vorreiter für eine faire Handelspolitik mit Afrika sein. Wir werden die Wirtschaftspartnerschaftsabkommen der EU mit den afrikanischen Staaten (EPAs) daraufhin überprüfen, ob sie der wirtschaftlichen und sozialen Entwicklung dienen. Darüber hinaus setzen wir uns dafür ein, dass in allen EU-Handels-, -Investitions- und </w:t>
      </w:r>
      <w:r>
        <w:rPr>
          <w:rFonts w:ascii="Arial" w:hAnsi="Arial" w:cs="Arial"/>
          <w:sz w:val="24"/>
          <w:szCs w:val="24"/>
        </w:rPr>
        <w:br/>
        <w:t>-Wirtschaftspartnerschaftsabkommen verbindliche soziale (u. a. ILO-Kernarbeitsnormen), menschenrechtliche und ökologische Standards und konkrete Beschwerde-, Überprüfungs- und Reaktionsmechanismen vereinbart werden. Dies gilt auch für das Allgemeine Präferenzsystem (APS und APS+) der EU. Die Afrikanische Union unterstützen wir beim Aufbau einer einheitlichen panafrikanischen Freihandelszone.</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Die EU-Verordnung zum Handel mit Konfliktmineralien werden wir zügig in nationales Recht mit starken Durchsetzungsbestimmungen umsetzen und uns auf europäischer Ebene für die Abschaffung der Freigrenzen und Ausweitung auf die gesamte Lieferkette einsetzen.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Marshallplan mit Afrika umsetzen</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werden im Rahmen des Marshallplans mit Afrika die Zusammenarbeit mit Reformpartner- und G20-Compactländern verstärken und konditionieren. Zur Umsetzung wird ein Ressortkreis unter Federführung des Bundesministeriums für wirtschaftliche Zusammenarbeit und Entwicklung gebildet. Schwerpunkte werden ein Mittelstandsförder- und Start-up-Programm, um mehr Chancen und menschenwürdige Arbeitsplätze zu schaffen und zu einer Stärkung afrikanischer Angebote beizutragen, ein Programm für Ausbildungspartnerschaften und zur Errichtung und Förderung von dezentralen Erneuerbaren Energien sein.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unterstützen die Transformationsprozesse der südlichen Mittelmeeranrainer und wollen die Maghreb-Staaten schrittweise weiter in den europäischen Wirtschaftsraum integrieren.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In den Verhandlungen für den nächsten mehrjährigen Finanzrahmen der Europäischen Union streben wir eine Erhöhung der Mittel für unsere Zusammenarbeit mit </w:t>
      </w:r>
      <w:r>
        <w:rPr>
          <w:rFonts w:ascii="Arial" w:hAnsi="Arial" w:cs="Arial"/>
          <w:sz w:val="24"/>
          <w:szCs w:val="24"/>
        </w:rPr>
        <w:lastRenderedPageBreak/>
        <w:t>Afrika an. Wir werden die Post-Cotonou-Verhandlungen aktiv und unter Einbindung der Zivilgesellschaft gestalten.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Gleichberechtigung und Bildung als Schlüssel für eine zukunftsfähige Entwicklung</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Die Gleichberechtigung von Frauen und Männern sowie die Förderung der Rechte von Mädchen und Frauen bleiben Grundlage unserer Entwicklungszusammenarbeit. </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wollen für alle gute Bildungs- und Ausbildungsmöglichkeiten entlang der gesamten Bildungskette fördern. Wir bauen deshalb diesen Bereich in allen Partnerländern aus und wollen bis zum Ende der Legislaturperiode unsere entsprechenden Haushaltsmittel wesentlich steigern. Wir wollen darüber hinaus als neue Initiative Investitionsprojekte der regionalen Entwicklungsbanken mit beruflicher Ausbildung verbinden. Ferner erhöhen wir die Mittel für die entwicklungspolitische Bildung im Inland. Wir wollen die Chancen der Digitalisierung auch für Entwicklungssprünge nutzen. Schwerpunkte werden die Unterstützung beim Aufbau von Digitalzentren, die Förderung von E-Learning und E-Health-Maßnahmen sein.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Den Ausbau von sozialen Sicherungs- und Gesundheitssystemen fördern</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werden uns für die erfolgreiche Umsetzung des Auf- und Ausbaus universeller sozialer Basisschutzsysteme unter Einbeziehung von Gewerkschaften und Nichtregierungsorganisationen einsetzen. Hierzu gehören insbesondere auch Gesundheitssysteme.</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Wir wollen in die öffentliche Forschung investieren, um insbesondere vernachlässigte und armutsbedingte Krankheiten zu bekämpfen. Internationale Partnerschaften wie den Globalen Fonds gegen Aids/HIV, Tuberkulose und Malaria (GFATM) und die globale Impfallianz (GAVI) wollen wir mit ausreichenden Mitteln ausstatten und unsere gegebenen Zusagen erfüllen.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Für eine Welt ohne Hunger und Armut</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Die Überwindung von Hunger und Armut in der Welt ist ein wesentliches Ziel unserer Entwicklungspolitik. Wir wollen die ländlichen Räume auch im Rahmen der Sonderinitiative „Eine Welt ohne Hunger“ stärken und stellen die Förderung von Kleinbäuerinnen und -bauern, lokale nachhaltige Lösungen und genossenschaftliche Ansätze in den Vordergrund. Die Förderung soll vorrangig der Lebensmittelproduktion für die lokalen und regionalen Märkte dienen.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Jeglichen Formen unverantwortlicher Spekulation mit Nahrungsmitteln werden wir entgegentreten. Wir bekräftigen unsere Zusage (G7-Gipfel 2015 in Elmau), 500 Millionen Menschen aus Hunger und Mangelernährung zu führen. Wir setzen uns für einen gerechten Zugang zu Land, Wasser und Fischgründen für die lokale Bevölkerung ein und werden „Landgrabbing“ nicht akzeptieren.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Klimaschutz und die Anpassung an den Klimawandel stärken</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Entwicklungs- und Schwellenländer wollen wir bei ihren Anstrengungen im Klimaschutz und bei der Anpassung an den Klimawandel sowie beim Schutz der biologischen Vielfalt unterstützen. Wir setzen konsequent auf die Förderung Erneuerbarer Energien, auf eine dezentrale Versorgung, insbesondere in ländlichen Gebieten, sowie auf den Zugang zu sauberer, bezahlbarer und sicherer Energie. Wir werden dazu weitere Partnerschaften mit Entwicklungs- und Schwellenländern eingehen.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lastRenderedPageBreak/>
        <w:t xml:space="preserve">Wir wollen Investitionsanreize für Klimaschutzprojekte in Schwellen- und Entwicklungsländern setzen, die Strukturen für eine Green-Economy und den Ausbau Erneuerbarer Energien verbessern. </w:t>
      </w:r>
      <w:r>
        <w:rPr>
          <w:rFonts w:ascii="Arial" w:eastAsia="Cambria" w:hAnsi="Arial" w:cs="Arial"/>
          <w:sz w:val="24"/>
          <w:szCs w:val="24"/>
        </w:rPr>
        <w:t>Wir wollen durch multi- und bilaterale Entwicklungszusammenarbeit den Aus- und Aufbau von Kreislaufwirtschaftssystemen unterstützen.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Fluchtursachen bekämpfen – Zukunftsperspektiven schaffen</w:t>
      </w:r>
    </w:p>
    <w:p w:rsidR="007F452D" w:rsidRDefault="006F111E">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Existenzielle </w:t>
      </w:r>
      <w:r w:rsidR="006007DF">
        <w:rPr>
          <w:rFonts w:ascii="Arial" w:hAnsi="Arial" w:cs="Arial"/>
          <w:sz w:val="24"/>
          <w:szCs w:val="24"/>
        </w:rPr>
        <w:t>Notlagen führen zu Flucht und Migration. Wir wollen akute und strukturelle Fluchtursachen mindern, einen entscheidenden Beitrag zum Wiederaufbau leisten, zur Rückkehr von Flüchtlingen beitragen und Aufnahmeländer bei der Bewältigung ihrer Herausforderungen weiter unterstützen. Darum bauen wir insbesondere unser „Cash for Work“-Programm und weitere Programme weiter aus.</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Entwicklungsfinanzierung und nachhaltige Investitionen ausbauen</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werden auch unsere Ausgaben in den Bereichen Entwicklungszusammenarbeit, Humanitäre Hilfe und zivile Krisenprävention deutlich erhöhen. Die Erreichung der ODA-Quote von 0,7 Prozent ist unser Ziel.</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werden die Zusage, 0,15-0,2 Prozent des Brutto-Nationaleinkommens für die ärmsten Länder (LDCs) bereit zu stellen, so schnell wie möglich erreichen.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werden Möglichkeiten prüfen, um Fondsgründungen mit Sitz in Deutschland mit privatem Kapital für entwicklungspolitische Zwecke zu realisieren.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wollen die Instrumente der Deutschen Investitions- und Entwicklungsgesellschaft anpassen.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 xml:space="preserve">Der Einsatz staatlicher Mittel zur Mobilisierung und Absicherung privaten Kapitals kann nur dann gewährt werden, wenn die Vorhaben überprüfbar im Einklang mit den international anerkannten Sozial-, Arbeits- und Umweltstandards stehen. Für die Förderung von nachhaltigen privaten Investitionen des Mittelstandes prüfen wir mit enger parlamentarischer Begleitung die Erarbeitung eines Entwicklungsinvestitionsgesetzes. Dabei wollen wir die besonderen Herausforderungen in fragilen und am wenigsten entwickelten Ländern berücksichtigen. </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Unsere Kooperationspartner stärken</w:t>
      </w:r>
    </w:p>
    <w:p w:rsidR="007F452D" w:rsidRDefault="006007DF">
      <w:pPr>
        <w:tabs>
          <w:tab w:val="num" w:pos="0"/>
        </w:tabs>
        <w:spacing w:after="0" w:line="240" w:lineRule="auto"/>
        <w:contextualSpacing/>
        <w:jc w:val="both"/>
        <w:rPr>
          <w:rFonts w:ascii="Arial" w:hAnsi="Arial" w:cs="Arial"/>
          <w:sz w:val="24"/>
          <w:szCs w:val="24"/>
        </w:rPr>
      </w:pPr>
      <w:r>
        <w:rPr>
          <w:rFonts w:ascii="Arial" w:hAnsi="Arial" w:cs="Arial"/>
          <w:sz w:val="24"/>
          <w:szCs w:val="24"/>
        </w:rPr>
        <w:t>Wir wollen das zivilgesellschaftliche Engagement fördern und dabei insbesondere Nichtregierungsorganisationen, Kirchen, Gewerkschaften, politische und private Stiftungen und Partnerschaften mit der Wirtschaft sowie mit Kommunen stärken. Austauschprogramme wie den „Weltexpertenservice“ und das Programm „weltwärts“ wollen wir weiter ausbauen.</w:t>
      </w:r>
    </w:p>
    <w:p w:rsidR="007F452D" w:rsidRDefault="007F452D">
      <w:pPr>
        <w:tabs>
          <w:tab w:val="num" w:pos="0"/>
        </w:tabs>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Verbesserung der Wirksamkeit der Entwicklungszusammenarbeit</w:t>
      </w:r>
    </w:p>
    <w:p w:rsidR="007F452D" w:rsidRDefault="006007DF">
      <w:pPr>
        <w:tabs>
          <w:tab w:val="num" w:pos="0"/>
        </w:tabs>
        <w:spacing w:after="0" w:line="240" w:lineRule="auto"/>
        <w:contextualSpacing/>
        <w:jc w:val="both"/>
        <w:rPr>
          <w:rFonts w:ascii="Arial" w:eastAsiaTheme="majorEastAsia" w:hAnsi="Arial" w:cs="Arial"/>
          <w:b/>
          <w:bCs/>
          <w:sz w:val="24"/>
          <w:szCs w:val="24"/>
        </w:rPr>
      </w:pPr>
      <w:r>
        <w:rPr>
          <w:rFonts w:ascii="Arial" w:hAnsi="Arial" w:cs="Arial"/>
          <w:sz w:val="24"/>
          <w:szCs w:val="24"/>
        </w:rPr>
        <w:t>Wir wollen die Wirksamkeit erhöhen, indem wir Umsetzungsvorschriften überprüfen, zeitgemäß anpassen und uns besser über ODA-relevante Vorhaben abstimmen.</w:t>
      </w:r>
      <w:r>
        <w:rPr>
          <w:rFonts w:ascii="Arial" w:hAnsi="Arial" w:cs="Arial"/>
          <w:sz w:val="24"/>
          <w:szCs w:val="24"/>
        </w:rPr>
        <w:br w:type="page"/>
      </w:r>
    </w:p>
    <w:p w:rsidR="007F452D" w:rsidRDefault="006007DF">
      <w:pPr>
        <w:pStyle w:val="berschrift1"/>
        <w:numPr>
          <w:ilvl w:val="0"/>
          <w:numId w:val="18"/>
        </w:numPr>
        <w:ind w:left="567" w:hanging="141"/>
        <w:contextualSpacing/>
      </w:pPr>
      <w:bookmarkStart w:id="78" w:name="_Toc505767199"/>
      <w:r>
        <w:lastRenderedPageBreak/>
        <w:t>Zusammenhalt und Erneuerung – Demokratie beleben</w:t>
      </w:r>
      <w:bookmarkEnd w:id="78"/>
      <w:r>
        <w:t xml:space="preserve"> </w:t>
      </w:r>
    </w:p>
    <w:p w:rsidR="007F452D" w:rsidRDefault="007F452D">
      <w:pPr>
        <w:spacing w:after="0" w:line="240" w:lineRule="auto"/>
        <w:contextualSpacing/>
        <w:rPr>
          <w:rFonts w:ascii="Arial" w:hAnsi="Arial" w:cs="Arial"/>
          <w:sz w:val="24"/>
          <w:szCs w:val="24"/>
        </w:rPr>
      </w:pPr>
    </w:p>
    <w:p w:rsidR="007F452D" w:rsidRDefault="006007DF">
      <w:pPr>
        <w:pStyle w:val="berschrift2"/>
        <w:numPr>
          <w:ilvl w:val="1"/>
          <w:numId w:val="19"/>
        </w:numPr>
        <w:contextualSpacing/>
        <w:rPr>
          <w:szCs w:val="24"/>
        </w:rPr>
      </w:pPr>
      <w:bookmarkStart w:id="79" w:name="_Toc505767200"/>
      <w:r>
        <w:rPr>
          <w:szCs w:val="24"/>
        </w:rPr>
        <w:t>Bürgerbeteiligung</w:t>
      </w:r>
      <w:bookmarkEnd w:id="79"/>
      <w:r>
        <w:rPr>
          <w:szCs w:val="24"/>
        </w:rPr>
        <w:t xml:space="preserve"> </w:t>
      </w:r>
    </w:p>
    <w:p w:rsidR="007F452D" w:rsidRDefault="006007DF">
      <w:pPr>
        <w:pStyle w:val="Listenabsatz"/>
        <w:shd w:val="clear" w:color="auto" w:fill="FFFFFF"/>
        <w:spacing w:after="0" w:line="240" w:lineRule="auto"/>
        <w:ind w:left="0"/>
        <w:jc w:val="both"/>
        <w:rPr>
          <w:rStyle w:val="xxt"/>
          <w:rFonts w:ascii="Arial" w:hAnsi="Arial" w:cs="Arial"/>
          <w:sz w:val="24"/>
          <w:szCs w:val="24"/>
        </w:rPr>
      </w:pPr>
      <w:r>
        <w:rPr>
          <w:rFonts w:ascii="Arial" w:hAnsi="Arial" w:cs="Arial"/>
          <w:sz w:val="24"/>
          <w:szCs w:val="24"/>
        </w:rPr>
        <w:t>Wir</w:t>
      </w:r>
      <w:r>
        <w:rPr>
          <w:rStyle w:val="xxt"/>
          <w:rFonts w:ascii="Arial" w:hAnsi="Arial" w:cs="Arial"/>
          <w:sz w:val="24"/>
          <w:szCs w:val="24"/>
        </w:rPr>
        <w:t xml:space="preserve"> werden eine Expertenkommission einsetzen, die Vorschläge erarbeiten soll, ob und in welcher Form unsere bewährte parlamentarisch-repräsentative Demokratie durch weitere Elemente der Bürgerbeteiligung und direkter Demokratie ergänzt werden kann. Zudem sollen Vorschläge zur Stärkung demokratischer Prozesse erarbeitet werden.</w:t>
      </w:r>
    </w:p>
    <w:p w:rsidR="007F452D" w:rsidRDefault="007F452D">
      <w:pPr>
        <w:pStyle w:val="KeinLeerraum"/>
        <w:contextualSpacing/>
        <w:jc w:val="both"/>
        <w:rPr>
          <w:rFonts w:ascii="Arial" w:hAnsi="Arial" w:cs="Arial"/>
          <w:b/>
          <w:bCs/>
          <w:sz w:val="24"/>
          <w:szCs w:val="24"/>
        </w:rPr>
      </w:pPr>
    </w:p>
    <w:p w:rsidR="007F452D" w:rsidRDefault="006007DF">
      <w:pPr>
        <w:pStyle w:val="berschrift2"/>
        <w:numPr>
          <w:ilvl w:val="1"/>
          <w:numId w:val="19"/>
        </w:numPr>
        <w:contextualSpacing/>
        <w:rPr>
          <w:szCs w:val="24"/>
        </w:rPr>
      </w:pPr>
      <w:bookmarkStart w:id="80" w:name="_Toc505767201"/>
      <w:r>
        <w:rPr>
          <w:szCs w:val="24"/>
        </w:rPr>
        <w:t>Kunst, Kultur und Medien</w:t>
      </w:r>
      <w:bookmarkEnd w:id="80"/>
    </w:p>
    <w:p w:rsidR="007F452D" w:rsidRDefault="007F452D">
      <w:pPr>
        <w:spacing w:after="0"/>
      </w:pPr>
    </w:p>
    <w:p w:rsidR="007F452D" w:rsidRDefault="006007DF">
      <w:pPr>
        <w:pStyle w:val="berschrift3"/>
        <w:contextualSpacing/>
        <w:rPr>
          <w:rFonts w:cs="Arial"/>
          <w:szCs w:val="24"/>
        </w:rPr>
      </w:pPr>
      <w:r>
        <w:rPr>
          <w:rFonts w:cs="Arial"/>
          <w:szCs w:val="24"/>
        </w:rPr>
        <w:t>Kulturelle Vielfalt und gesellschaftlicher Zusammenhalt</w:t>
      </w:r>
    </w:p>
    <w:p w:rsidR="007F452D" w:rsidRDefault="006007DF">
      <w:pPr>
        <w:pStyle w:val="Listenabsatz"/>
        <w:shd w:val="clear" w:color="auto" w:fill="FFFFFF"/>
        <w:spacing w:after="0" w:line="240" w:lineRule="auto"/>
        <w:ind w:left="0"/>
        <w:jc w:val="both"/>
        <w:rPr>
          <w:rFonts w:ascii="Arial" w:hAnsi="Arial" w:cs="Arial"/>
          <w:iCs/>
          <w:sz w:val="24"/>
          <w:szCs w:val="24"/>
        </w:rPr>
      </w:pPr>
      <w:r>
        <w:rPr>
          <w:rFonts w:ascii="Arial" w:hAnsi="Arial" w:cs="Arial"/>
          <w:iCs/>
          <w:sz w:val="24"/>
          <w:szCs w:val="24"/>
        </w:rPr>
        <w:t xml:space="preserve">Kunst und Kultur sind Ausdruck des menschlichen Daseins. </w:t>
      </w:r>
      <w:r>
        <w:rPr>
          <w:rFonts w:ascii="Arial" w:hAnsi="Arial" w:cs="Arial"/>
          <w:sz w:val="24"/>
          <w:szCs w:val="24"/>
        </w:rPr>
        <w:t>In ihrer Freiheit und Vielfalt bereichern sie unser Leben, prägen unsere kulturelle Identität,</w:t>
      </w:r>
      <w:r>
        <w:rPr>
          <w:rFonts w:ascii="Arial" w:hAnsi="Arial" w:cs="Arial"/>
          <w:i/>
          <w:sz w:val="24"/>
          <w:szCs w:val="24"/>
        </w:rPr>
        <w:t xml:space="preserve"> </w:t>
      </w:r>
      <w:r>
        <w:rPr>
          <w:rFonts w:ascii="Arial" w:hAnsi="Arial" w:cs="Arial"/>
          <w:sz w:val="24"/>
          <w:szCs w:val="24"/>
        </w:rPr>
        <w:t>leisten einen Beitrag zu gesellschaftlichem Zusammenhalt und zur Integration</w:t>
      </w:r>
      <w:r>
        <w:rPr>
          <w:rFonts w:ascii="Arial" w:hAnsi="Arial" w:cs="Arial"/>
          <w:i/>
          <w:sz w:val="24"/>
          <w:szCs w:val="24"/>
        </w:rPr>
        <w:t xml:space="preserve"> </w:t>
      </w:r>
      <w:r>
        <w:rPr>
          <w:rFonts w:ascii="Arial" w:hAnsi="Arial" w:cs="Arial"/>
          <w:sz w:val="24"/>
          <w:szCs w:val="24"/>
        </w:rPr>
        <w:t>und schaffen Freiräume für kritischen Diskurs.</w:t>
      </w:r>
      <w:r>
        <w:rPr>
          <w:rFonts w:ascii="Arial" w:hAnsi="Arial" w:cs="Arial"/>
          <w:i/>
          <w:sz w:val="24"/>
          <w:szCs w:val="24"/>
        </w:rPr>
        <w:t xml:space="preserve"> </w:t>
      </w:r>
      <w:r>
        <w:rPr>
          <w:rFonts w:ascii="Arial" w:hAnsi="Arial" w:cs="Arial"/>
          <w:sz w:val="24"/>
          <w:szCs w:val="24"/>
        </w:rPr>
        <w:t xml:space="preserve">Kultur ist ein Spiegel unseres Selbstverständnisses, das auf der christlich-jüdischen Prägung, der Aufklärung und dem Humanismus sowie den Grundwerten der Menschenwürde, der Freiheit, der Gerechtigkeit und Solidarität beruht. </w:t>
      </w:r>
      <w:r>
        <w:rPr>
          <w:rFonts w:ascii="Arial" w:hAnsi="Arial" w:cs="Arial"/>
          <w:iCs/>
          <w:sz w:val="24"/>
          <w:szCs w:val="24"/>
        </w:rPr>
        <w:t xml:space="preserve">Eigensinn und Eigenwert künstlerischer und kultureller Produktion bereichern unser Zusammenleben, </w:t>
      </w:r>
      <w:r w:rsidR="006F111E">
        <w:rPr>
          <w:rFonts w:ascii="Arial" w:hAnsi="Arial" w:cs="Arial"/>
          <w:iCs/>
          <w:sz w:val="24"/>
          <w:szCs w:val="24"/>
        </w:rPr>
        <w:t xml:space="preserve">ermöglichen </w:t>
      </w:r>
      <w:r>
        <w:rPr>
          <w:rFonts w:ascii="Arial" w:hAnsi="Arial" w:cs="Arial"/>
          <w:iCs/>
          <w:sz w:val="24"/>
          <w:szCs w:val="24"/>
        </w:rPr>
        <w:t xml:space="preserve">kritische Debatten und </w:t>
      </w:r>
      <w:r w:rsidR="006F111E">
        <w:rPr>
          <w:rFonts w:ascii="Arial" w:hAnsi="Arial" w:cs="Arial"/>
          <w:iCs/>
          <w:sz w:val="24"/>
          <w:szCs w:val="24"/>
        </w:rPr>
        <w:t xml:space="preserve">fördern </w:t>
      </w:r>
      <w:r>
        <w:rPr>
          <w:rFonts w:ascii="Arial" w:hAnsi="Arial" w:cs="Arial"/>
          <w:iCs/>
          <w:sz w:val="24"/>
          <w:szCs w:val="24"/>
        </w:rPr>
        <w:t xml:space="preserve">die persönliche Entwicklung jeder und jedes Einzelnen. </w:t>
      </w:r>
    </w:p>
    <w:p w:rsidR="007F452D" w:rsidRDefault="007F452D">
      <w:pPr>
        <w:pStyle w:val="Listenabsatz"/>
        <w:shd w:val="clear" w:color="auto" w:fill="FFFFFF"/>
        <w:spacing w:after="0" w:line="240" w:lineRule="auto"/>
        <w:ind w:left="0"/>
        <w:jc w:val="both"/>
        <w:rPr>
          <w:rFonts w:ascii="Arial" w:hAnsi="Arial" w:cs="Arial"/>
          <w:iCs/>
          <w:sz w:val="24"/>
          <w:szCs w:val="24"/>
        </w:rPr>
      </w:pPr>
    </w:p>
    <w:p w:rsidR="007F452D" w:rsidRDefault="006007DF">
      <w:pPr>
        <w:pStyle w:val="Default"/>
        <w:shd w:val="clear" w:color="auto" w:fill="FFFFFF"/>
        <w:spacing w:after="0" w:line="240" w:lineRule="auto"/>
        <w:contextualSpacing/>
        <w:jc w:val="both"/>
        <w:rPr>
          <w:rFonts w:ascii="Arial" w:hAnsi="Arial" w:cs="Arial"/>
          <w:iCs/>
          <w:color w:val="auto"/>
        </w:rPr>
      </w:pPr>
      <w:r>
        <w:rPr>
          <w:rFonts w:ascii="Arial" w:hAnsi="Arial" w:cs="Arial"/>
          <w:iCs/>
          <w:color w:val="auto"/>
        </w:rPr>
        <w:t xml:space="preserve">Kunst und Kultur sind frei. Sie sind Grundlage unserer offenen, demokratischen Gesellschaft und damit wichtiger Teil unseres Landes, das sich seit seiner Gründung im Herzen Europas nicht nur als Wirtschaftsmacht und Sozialstaat, sondern gerade auch als starker Kulturstaat versteht. Die kulturelle und religiöse Vielfalt Deutschlands bereichert uns, ist aber nicht frei von Spannungen. Gemeinsame Werte, Respekt vor dem Anderen und die Bereitschaft, Widersprüche auszuhalten, sind Voraussetzungen für ein friedliches gesellschaftliches Miteinander. Gerade in Zeiten des Wandels sind eine starke und vielfältige Kunst- und Kulturszene sowie eine moderne und ermöglichende Kulturpolitik unverzichtbar. Sie besitzen die Kraft, Verständnis und Verständigung zu fördern, durch die wir souveräner im Umgang mit Konflikten und Bewährungsproben sind. </w:t>
      </w:r>
    </w:p>
    <w:p w:rsidR="007F452D" w:rsidRDefault="007F452D">
      <w:pPr>
        <w:pStyle w:val="Default"/>
        <w:shd w:val="clear" w:color="auto" w:fill="FFFFFF"/>
        <w:spacing w:after="0" w:line="240" w:lineRule="auto"/>
        <w:contextualSpacing/>
        <w:jc w:val="both"/>
        <w:rPr>
          <w:rFonts w:ascii="Arial" w:hAnsi="Arial" w:cs="Arial"/>
          <w:iCs/>
          <w:color w:val="auto"/>
        </w:rPr>
      </w:pPr>
    </w:p>
    <w:p w:rsidR="007F452D" w:rsidRDefault="006007DF">
      <w:pPr>
        <w:pStyle w:val="Default"/>
        <w:shd w:val="clear" w:color="auto" w:fill="FFFFFF"/>
        <w:spacing w:after="0" w:line="240" w:lineRule="auto"/>
        <w:contextualSpacing/>
        <w:jc w:val="both"/>
        <w:rPr>
          <w:rFonts w:ascii="Arial" w:hAnsi="Arial" w:cs="Arial"/>
          <w:iCs/>
          <w:color w:val="auto"/>
        </w:rPr>
      </w:pPr>
      <w:r>
        <w:rPr>
          <w:rFonts w:ascii="Arial" w:hAnsi="Arial" w:cs="Arial"/>
          <w:iCs/>
          <w:color w:val="auto"/>
        </w:rPr>
        <w:t xml:space="preserve">Im Sinne des kooperativen Kulturföderalismus stimmen wir die Kulturförderung des Bundes verstärkt mit den Ländern ab. Die Kulturhoheit liegt bei den Ländern. </w:t>
      </w:r>
    </w:p>
    <w:p w:rsidR="007F452D" w:rsidRDefault="007F452D">
      <w:pPr>
        <w:pStyle w:val="Default"/>
        <w:shd w:val="clear" w:color="auto" w:fill="FFFFFF"/>
        <w:spacing w:after="0" w:line="240" w:lineRule="auto"/>
        <w:contextualSpacing/>
        <w:jc w:val="both"/>
        <w:rPr>
          <w:rFonts w:ascii="Arial" w:hAnsi="Arial" w:cs="Arial"/>
          <w:iCs/>
          <w:color w:val="auto"/>
        </w:rPr>
      </w:pPr>
    </w:p>
    <w:p w:rsidR="007F452D" w:rsidRDefault="006007DF">
      <w:pPr>
        <w:pStyle w:val="Listenabsatz"/>
        <w:shd w:val="clear" w:color="auto" w:fill="FFFFFF"/>
        <w:spacing w:after="0" w:line="240" w:lineRule="auto"/>
        <w:ind w:left="0"/>
        <w:jc w:val="both"/>
        <w:rPr>
          <w:rFonts w:ascii="Arial" w:hAnsi="Arial" w:cs="Arial"/>
          <w:iCs/>
          <w:sz w:val="24"/>
          <w:szCs w:val="24"/>
        </w:rPr>
      </w:pPr>
      <w:r>
        <w:rPr>
          <w:rFonts w:ascii="Arial" w:hAnsi="Arial" w:cs="Arial"/>
          <w:sz w:val="24"/>
          <w:szCs w:val="24"/>
        </w:rPr>
        <w:t>Mit einer fortschrittlichen Kulturpolitik nach innen und außen fördern wir Dialog, Austausch, Verständigung und Kooperation und stärken den Zusammenhalt in einer offenen und demokratischen Gesellschaft.</w:t>
      </w:r>
      <w:r>
        <w:rPr>
          <w:rFonts w:ascii="Arial" w:hAnsi="Arial" w:cs="Arial"/>
          <w:iCs/>
          <w:sz w:val="24"/>
          <w:szCs w:val="24"/>
        </w:rPr>
        <w:t xml:space="preserve"> Mit einer „Agenda für Kultur und Zukunft“ wollen wir die Kulturförderung des Bundes angesichts gesellschaftlicher Herausforderungen </w:t>
      </w:r>
      <w:r>
        <w:rPr>
          <w:rFonts w:ascii="Arial" w:hAnsi="Arial" w:cs="Arial"/>
          <w:sz w:val="24"/>
          <w:szCs w:val="24"/>
        </w:rPr>
        <w:t>wie Integration, Inklusion, Demografie, Digitalisierung, Gleichstellung, Populismus, Zukunft von Arbeit und Kommunikation</w:t>
      </w:r>
      <w:r>
        <w:rPr>
          <w:rFonts w:ascii="Arial" w:hAnsi="Arial" w:cs="Arial"/>
          <w:i/>
          <w:sz w:val="24"/>
          <w:szCs w:val="24"/>
        </w:rPr>
        <w:t xml:space="preserve"> </w:t>
      </w:r>
      <w:r>
        <w:rPr>
          <w:rFonts w:ascii="Arial" w:hAnsi="Arial" w:cs="Arial"/>
          <w:iCs/>
          <w:sz w:val="24"/>
          <w:szCs w:val="24"/>
        </w:rPr>
        <w:t xml:space="preserve">gemeinsam mit den Ländern, Kommunen und der Zivilgesellschaft weiterentwickeln. Auf diese Weise bekennt sich der </w:t>
      </w:r>
      <w:r>
        <w:rPr>
          <w:rFonts w:ascii="Arial" w:hAnsi="Arial" w:cs="Arial"/>
          <w:sz w:val="24"/>
          <w:szCs w:val="24"/>
        </w:rPr>
        <w:t xml:space="preserve">Bund zu seiner kultur- und medienpolitischen Verantwortung für ganz Deutschland </w:t>
      </w:r>
      <w:r>
        <w:rPr>
          <w:rFonts w:ascii="Arial" w:hAnsi="Arial" w:cs="Arial"/>
          <w:iCs/>
          <w:sz w:val="24"/>
          <w:szCs w:val="24"/>
        </w:rPr>
        <w:t>und zur Gleichwertigkeit der Lebensverhältnisse in allen Bundesländern. Wir wollen die Kultur in ihrer föderalen Vielfalt fördern.</w:t>
      </w:r>
    </w:p>
    <w:p w:rsidR="007F452D" w:rsidRDefault="007F452D">
      <w:pPr>
        <w:pStyle w:val="Listenabsatz"/>
        <w:shd w:val="clear" w:color="auto" w:fill="FFFFFF"/>
        <w:spacing w:after="0" w:line="240" w:lineRule="auto"/>
        <w:ind w:left="0"/>
        <w:jc w:val="both"/>
        <w:rPr>
          <w:rFonts w:ascii="Arial" w:hAnsi="Arial" w:cs="Arial"/>
          <w:iCs/>
          <w:sz w:val="24"/>
          <w:szCs w:val="24"/>
        </w:rPr>
      </w:pPr>
    </w:p>
    <w:p w:rsidR="007F452D" w:rsidRDefault="006007DF">
      <w:pPr>
        <w:pStyle w:val="Listenabsatz"/>
        <w:shd w:val="clear" w:color="auto" w:fill="FFFFFF"/>
        <w:spacing w:after="0" w:line="240" w:lineRule="auto"/>
        <w:ind w:left="0"/>
        <w:jc w:val="both"/>
        <w:rPr>
          <w:rFonts w:ascii="Arial" w:hAnsi="Arial" w:cs="Arial"/>
          <w:iCs/>
          <w:sz w:val="24"/>
          <w:szCs w:val="24"/>
        </w:rPr>
      </w:pPr>
      <w:r>
        <w:rPr>
          <w:rFonts w:ascii="Arial" w:hAnsi="Arial" w:cs="Arial"/>
          <w:iCs/>
          <w:sz w:val="24"/>
          <w:szCs w:val="24"/>
        </w:rPr>
        <w:t xml:space="preserve">Zur Verbesserung der Abstimmung zwischen Bund, Ländern und kommunalen Spitzenverbänden wollen wir das kulturpolitische Spitzengespräch weiterentwickeln und strukturieren. Deshalb erachten wir es als sinnvoll, dieses einmal jährlich auch auf </w:t>
      </w:r>
      <w:r>
        <w:rPr>
          <w:rFonts w:ascii="Arial" w:hAnsi="Arial" w:cs="Arial"/>
          <w:iCs/>
          <w:sz w:val="24"/>
          <w:szCs w:val="24"/>
        </w:rPr>
        <w:lastRenderedPageBreak/>
        <w:t xml:space="preserve">Einladung der für Kultur zuständigen Fachministerinnen und Fachminister der Länder durchzuführen. </w:t>
      </w:r>
    </w:p>
    <w:p w:rsidR="007F452D" w:rsidRDefault="007F452D">
      <w:pPr>
        <w:pStyle w:val="Listenabsatz"/>
        <w:shd w:val="clear" w:color="auto" w:fill="FFFFFF"/>
        <w:spacing w:after="0" w:line="240" w:lineRule="auto"/>
        <w:ind w:left="0"/>
        <w:jc w:val="both"/>
        <w:rPr>
          <w:rFonts w:ascii="Arial" w:hAnsi="Arial" w:cs="Arial"/>
          <w:iCs/>
          <w:sz w:val="24"/>
          <w:szCs w:val="24"/>
        </w:rPr>
      </w:pP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iCs/>
          <w:sz w:val="24"/>
          <w:szCs w:val="24"/>
        </w:rPr>
        <w:t xml:space="preserve">Wir werden in der Legislaturperiode einen Bericht zur sozialen und wirtschaftlichen Situation der Künstlerinnen, Künstler und Kreativen zur Gleichstellung und Diversität im Kultur- und Medienbereich in Deutschland vorlegen. Im Rahmen dieses Berichts werden wir weitere Instrumente der Kulturförderung des Bundes prüfen, die auch Bildende Künstlerinnen und Künstler in ihrer besonderen Produktionssituation unterstützen. Flankierend soll im Deutschen Bundestag eine Orientierungsdebatte zur Lage von Kunst und Kultur in unserem Land stattfinden. Darüber hinaus </w:t>
      </w:r>
      <w:r>
        <w:rPr>
          <w:rFonts w:ascii="Arial" w:hAnsi="Arial" w:cs="Arial"/>
          <w:sz w:val="24"/>
          <w:szCs w:val="24"/>
        </w:rPr>
        <w:t>setzen wir uns für eine Berücksichtigung der Kultur in Debatten zur nachhaltigen Entwicklung auf nationaler und internationaler Ebene ein.</w:t>
      </w:r>
    </w:p>
    <w:p w:rsidR="007F452D" w:rsidRDefault="007F452D">
      <w:pPr>
        <w:autoSpaceDE w:val="0"/>
        <w:autoSpaceDN w:val="0"/>
        <w:adjustRightInd w:val="0"/>
        <w:spacing w:after="0" w:line="240" w:lineRule="auto"/>
        <w:contextualSpacing/>
        <w:jc w:val="both"/>
        <w:rPr>
          <w:rFonts w:ascii="Arial" w:hAnsi="Arial" w:cs="Arial"/>
          <w:sz w:val="24"/>
          <w:szCs w:val="24"/>
        </w:rPr>
      </w:pPr>
    </w:p>
    <w:p w:rsidR="007F452D" w:rsidRDefault="006007DF">
      <w:pPr>
        <w:keepNext/>
        <w:spacing w:after="0" w:line="240" w:lineRule="auto"/>
        <w:contextualSpacing/>
        <w:jc w:val="both"/>
        <w:rPr>
          <w:rFonts w:ascii="Arial" w:eastAsia="Times New Roman" w:hAnsi="Arial" w:cs="Arial"/>
          <w:sz w:val="24"/>
          <w:szCs w:val="24"/>
        </w:rPr>
      </w:pPr>
      <w:r>
        <w:rPr>
          <w:rFonts w:ascii="Arial" w:eastAsia="Calibri" w:hAnsi="Arial" w:cs="Arial"/>
          <w:sz w:val="24"/>
          <w:szCs w:val="24"/>
        </w:rPr>
        <w:t>Wir wollen Gleichstellung und Geschlechtergerechtigkeit in Kunst, Kultur und Medien weiter ausbauen: Mehr Frauen müssen Führungsverantwortung in Kultur- und Medieneinrichtungen übernehmen und künstlerische Leistungen geschlechterunabhängig honoriert werden. Die Besetzung von z. B. Jurys</w:t>
      </w:r>
      <w:r w:rsidR="006F111E">
        <w:rPr>
          <w:rFonts w:ascii="Arial" w:eastAsia="Calibri" w:hAnsi="Arial" w:cs="Arial"/>
          <w:sz w:val="24"/>
          <w:szCs w:val="24"/>
        </w:rPr>
        <w:t xml:space="preserve"> und </w:t>
      </w:r>
      <w:r>
        <w:rPr>
          <w:rFonts w:ascii="Arial" w:eastAsia="Calibri" w:hAnsi="Arial" w:cs="Arial"/>
          <w:sz w:val="24"/>
          <w:szCs w:val="24"/>
        </w:rPr>
        <w:t xml:space="preserve">Gremien hat ausgewogener zu erfolgen, damit das künstlerische Schaffen von Frauen wie Männern angemessen einbezogen werden kann. Wir beziehen bei Stipendienvergaben und Förderentscheidungen auch das Prinzip der Geschlechtergerechtigkeit ein. </w:t>
      </w:r>
      <w:r>
        <w:rPr>
          <w:rFonts w:ascii="Arial" w:hAnsi="Arial" w:cs="Arial"/>
          <w:sz w:val="24"/>
          <w:szCs w:val="24"/>
        </w:rPr>
        <w:t xml:space="preserve">Wir wollen den mit dem „Runden Tisch Frauen in Kultur und Medien“ begonnenen Prozess zur Herstellung von Geschlechtergerechtigkeit sowie der Verbesserung gleicher Chancen für Frauen und Männer fortführen. </w:t>
      </w:r>
      <w:r>
        <w:rPr>
          <w:rFonts w:ascii="Arial" w:eastAsia="Times New Roman" w:hAnsi="Arial" w:cs="Arial"/>
          <w:sz w:val="24"/>
          <w:szCs w:val="24"/>
        </w:rPr>
        <w:t>Wir unterstützen Maßnahmen für ein diskriminierungs- und gewaltfreies Arbeitsumfeld für Künstlerinnen und Künstler.</w:t>
      </w:r>
    </w:p>
    <w:p w:rsidR="007F452D" w:rsidRDefault="007F452D">
      <w:pPr>
        <w:keepNext/>
        <w:spacing w:after="0" w:line="240" w:lineRule="auto"/>
        <w:contextualSpacing/>
        <w:jc w:val="both"/>
        <w:rPr>
          <w:rFonts w:ascii="Arial" w:eastAsia="Times New Roman" w:hAnsi="Arial" w:cs="Arial"/>
          <w:sz w:val="24"/>
          <w:szCs w:val="24"/>
        </w:rPr>
      </w:pPr>
    </w:p>
    <w:p w:rsidR="007F452D" w:rsidRDefault="006007DF">
      <w:pPr>
        <w:spacing w:after="0" w:line="240" w:lineRule="auto"/>
        <w:contextualSpacing/>
        <w:jc w:val="both"/>
        <w:rPr>
          <w:rFonts w:ascii="Arial" w:eastAsia="Times New Roman" w:hAnsi="Arial" w:cs="Arial"/>
          <w:sz w:val="24"/>
          <w:szCs w:val="24"/>
        </w:rPr>
      </w:pPr>
      <w:r>
        <w:rPr>
          <w:rFonts w:ascii="Arial" w:eastAsia="Calibri" w:hAnsi="Arial" w:cs="Arial"/>
          <w:sz w:val="24"/>
          <w:szCs w:val="24"/>
        </w:rPr>
        <w:t xml:space="preserve">Die Koalitionsparteien würdigen das Wirken der Kirchen und Religionsgemeinschaften. Sie sind wichtiger Teil unserer Zivilgesellschaft und Partner des Staates. </w:t>
      </w:r>
      <w:r>
        <w:rPr>
          <w:rFonts w:ascii="Arial" w:hAnsi="Arial" w:cs="Arial"/>
          <w:sz w:val="24"/>
          <w:szCs w:val="24"/>
        </w:rPr>
        <w:t>Auf Basis der christlichen Prägung unseres Landes setzen wir uns für ein gleichberechtigtes gesellschaftliches Miteinander in Vielfalt ein.</w:t>
      </w:r>
      <w:r>
        <w:rPr>
          <w:rFonts w:ascii="Arial" w:eastAsia="Calibri" w:hAnsi="Arial" w:cs="Arial"/>
          <w:sz w:val="24"/>
          <w:szCs w:val="24"/>
        </w:rPr>
        <w:t xml:space="preserve"> Wir suchen das Gespräch mit den Kirchen und Religionsgemeinschaften und ermutigen sie zum interreligiösen Dialog,</w:t>
      </w:r>
      <w:r>
        <w:rPr>
          <w:rFonts w:ascii="Arial" w:eastAsia="Calibri" w:hAnsi="Arial" w:cs="Arial"/>
          <w:b/>
          <w:bCs/>
          <w:sz w:val="24"/>
          <w:szCs w:val="24"/>
        </w:rPr>
        <w:t xml:space="preserve"> </w:t>
      </w:r>
      <w:r>
        <w:rPr>
          <w:rFonts w:ascii="Arial" w:eastAsia="Calibri" w:hAnsi="Arial" w:cs="Arial"/>
          <w:sz w:val="24"/>
          <w:szCs w:val="24"/>
        </w:rPr>
        <w:t xml:space="preserve">denn das Wissen über Religionen, Kulturen und gemeinsame Werte ist Voraussetzung für ein friedliches Miteinander und gegenseitigen Respekt. </w:t>
      </w:r>
      <w:r>
        <w:rPr>
          <w:rFonts w:ascii="Arial" w:eastAsia="Times New Roman" w:hAnsi="Arial" w:cs="Arial"/>
          <w:sz w:val="24"/>
          <w:szCs w:val="24"/>
        </w:rPr>
        <w:t>Wir werden Antisemitismus entschieden bekämpfen und ebenso anti-islamischen Stimmungen entgegentreten.</w:t>
      </w:r>
    </w:p>
    <w:p w:rsidR="007F452D" w:rsidRDefault="007F452D">
      <w:pPr>
        <w:spacing w:after="0" w:line="240" w:lineRule="auto"/>
        <w:contextualSpacing/>
        <w:jc w:val="both"/>
        <w:rPr>
          <w:rFonts w:ascii="Arial" w:eastAsia="Calibri" w:hAnsi="Arial" w:cs="Arial"/>
          <w:sz w:val="24"/>
          <w:szCs w:val="24"/>
        </w:rPr>
      </w:pPr>
    </w:p>
    <w:p w:rsidR="007F452D" w:rsidRDefault="006007DF">
      <w:pPr>
        <w:pStyle w:val="berschrift3"/>
        <w:contextualSpacing/>
        <w:rPr>
          <w:rFonts w:cs="Arial"/>
          <w:szCs w:val="24"/>
        </w:rPr>
      </w:pPr>
      <w:r>
        <w:rPr>
          <w:rFonts w:cs="Arial"/>
          <w:szCs w:val="24"/>
        </w:rPr>
        <w:t>Kulturelle Infrastruktur und Kulturförderung</w:t>
      </w:r>
    </w:p>
    <w:p w:rsidR="007F452D" w:rsidRDefault="006007DF">
      <w:pPr>
        <w:pStyle w:val="Default"/>
        <w:shd w:val="clear" w:color="auto" w:fill="FFFFFF"/>
        <w:spacing w:after="0" w:line="240" w:lineRule="auto"/>
        <w:contextualSpacing/>
        <w:jc w:val="both"/>
        <w:rPr>
          <w:rFonts w:ascii="Arial" w:hAnsi="Arial" w:cs="Arial"/>
          <w:iCs/>
          <w:color w:val="auto"/>
        </w:rPr>
      </w:pPr>
      <w:r>
        <w:rPr>
          <w:rFonts w:ascii="Arial" w:hAnsi="Arial" w:cs="Arial"/>
          <w:color w:val="auto"/>
        </w:rPr>
        <w:t>Indem wir Kultur und (kulturelle) Bildung für alle zugänglich machen, im urbanen und ländlichen Gebiet, unabhängig von Einkommen und Herkunft, ermöglichen wir echte Teilhabe am sozialen und kulturellen Leben. Deshalb wollen wir einen besseren Zugang zu kulturellen Einrichtungen und Inhalten im analogen wie im digitalen Raum und gemeinsam mit Ländern und Kommunen dafür sorgen, dass die kulturelle Infrastruktur und das kulturelle Erbe erhalten, gestärkt und modernisiert werden. Die auf ganz Deutschland gerichteten Programme zur Förderung von Investitionen, zur zeitgenössischen Kunst- und Kulturproduktion, zur kulturellen Infrastruktur und insbesondere zur freien Kultur sollen mit dem Ziel einer größeren Verteilungsgerechtigkeit gestärkt sowie für Kultur- und Bildungseinrichtungen auf dem Weg ins digitale 21. Jahrhundert geöffnet werden.</w:t>
      </w:r>
      <w:r>
        <w:rPr>
          <w:rFonts w:ascii="Arial" w:hAnsi="Arial" w:cs="Arial"/>
          <w:iCs/>
          <w:color w:val="auto"/>
        </w:rPr>
        <w:t xml:space="preserve"> </w:t>
      </w:r>
    </w:p>
    <w:p w:rsidR="007F452D" w:rsidRDefault="007F452D">
      <w:pPr>
        <w:pStyle w:val="Default"/>
        <w:shd w:val="clear" w:color="auto" w:fill="FFFFFF"/>
        <w:spacing w:after="0" w:line="240" w:lineRule="auto"/>
        <w:contextualSpacing/>
        <w:jc w:val="both"/>
        <w:rPr>
          <w:rFonts w:ascii="Arial" w:hAnsi="Arial" w:cs="Arial"/>
          <w:iCs/>
          <w:color w:val="auto"/>
        </w:rPr>
      </w:pPr>
    </w:p>
    <w:p w:rsidR="007F452D" w:rsidRDefault="006007DF">
      <w:pPr>
        <w:autoSpaceDE w:val="0"/>
        <w:autoSpaceDN w:val="0"/>
        <w:adjustRightInd w:val="0"/>
        <w:spacing w:after="0" w:line="240" w:lineRule="auto"/>
        <w:contextualSpacing/>
        <w:jc w:val="both"/>
        <w:rPr>
          <w:rFonts w:ascii="Arial" w:hAnsi="Arial" w:cs="Arial"/>
          <w:iCs/>
          <w:sz w:val="24"/>
          <w:szCs w:val="24"/>
        </w:rPr>
      </w:pPr>
      <w:r>
        <w:rPr>
          <w:rFonts w:ascii="Arial" w:hAnsi="Arial" w:cs="Arial"/>
          <w:iCs/>
          <w:sz w:val="24"/>
          <w:szCs w:val="24"/>
        </w:rPr>
        <w:t>Um die kulturelle Infrastruktur in ganz Deutschland zu erhalten und weiter zu entwickeln, sowie b</w:t>
      </w:r>
      <w:r>
        <w:rPr>
          <w:rFonts w:ascii="Arial" w:hAnsi="Arial" w:cs="Arial"/>
          <w:sz w:val="24"/>
          <w:szCs w:val="24"/>
        </w:rPr>
        <w:t xml:space="preserve">estehende Förderprogramme und bundesgeförderte Einrichtungen für </w:t>
      </w:r>
      <w:r>
        <w:rPr>
          <w:rFonts w:ascii="Arial" w:hAnsi="Arial" w:cs="Arial"/>
          <w:sz w:val="24"/>
          <w:szCs w:val="24"/>
        </w:rPr>
        <w:lastRenderedPageBreak/>
        <w:t xml:space="preserve">eine stärkere Wirkung in der Fläche zu ertüchtigen, wollen wir </w:t>
      </w:r>
      <w:r>
        <w:rPr>
          <w:rFonts w:ascii="Arial" w:hAnsi="Arial" w:cs="Arial"/>
          <w:iCs/>
          <w:sz w:val="24"/>
          <w:szCs w:val="24"/>
        </w:rPr>
        <w:t>gemeinsam mit den Ländern folgende Maßnahmen umsetzen:</w:t>
      </w:r>
    </w:p>
    <w:p w:rsidR="007F452D" w:rsidRDefault="007F452D">
      <w:pPr>
        <w:autoSpaceDE w:val="0"/>
        <w:autoSpaceDN w:val="0"/>
        <w:adjustRightInd w:val="0"/>
        <w:spacing w:after="0" w:line="240" w:lineRule="auto"/>
        <w:contextualSpacing/>
        <w:jc w:val="both"/>
        <w:rPr>
          <w:rFonts w:ascii="Arial" w:hAnsi="Arial" w:cs="Arial"/>
          <w:iCs/>
          <w:sz w:val="24"/>
          <w:szCs w:val="24"/>
        </w:rPr>
      </w:pP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iCs/>
          <w:sz w:val="24"/>
          <w:szCs w:val="24"/>
        </w:rPr>
        <w:t xml:space="preserve">In einem gesamtdeutschen Katalog werden die durch </w:t>
      </w:r>
      <w:r>
        <w:rPr>
          <w:rFonts w:ascii="Arial" w:hAnsi="Arial" w:cs="Arial"/>
          <w:sz w:val="24"/>
          <w:szCs w:val="24"/>
        </w:rPr>
        <w:t>den Bund geförderten, überregional und gesamtstaatlich bedeutsamen Kultureinrichtungen und -veranstaltungen aufgenommen und damit ihr nationaler und internationaler Rang herausgestellt. Der Bund bekennt sich dazu, kulturelle Projekte von nationaler Bedeutung in allen Teilen Deutschlands maßgeblich zu unterstützen.</w:t>
      </w:r>
    </w:p>
    <w:p w:rsidR="007F452D" w:rsidRDefault="007F452D">
      <w:pPr>
        <w:autoSpaceDE w:val="0"/>
        <w:autoSpaceDN w:val="0"/>
        <w:adjustRightInd w:val="0"/>
        <w:spacing w:after="0" w:line="240" w:lineRule="auto"/>
        <w:contextualSpacing/>
        <w:jc w:val="both"/>
        <w:rPr>
          <w:rFonts w:ascii="Arial" w:hAnsi="Arial" w:cs="Arial"/>
          <w:sz w:val="24"/>
          <w:szCs w:val="24"/>
        </w:rPr>
      </w:pPr>
    </w:p>
    <w:p w:rsidR="007F452D" w:rsidRDefault="006007DF">
      <w:pPr>
        <w:autoSpaceDE w:val="0"/>
        <w:autoSpaceDN w:val="0"/>
        <w:adjustRightInd w:val="0"/>
        <w:spacing w:after="0" w:line="240" w:lineRule="auto"/>
        <w:contextualSpacing/>
        <w:jc w:val="both"/>
        <w:rPr>
          <w:rFonts w:ascii="Arial" w:hAnsi="Arial" w:cs="Arial"/>
          <w:iCs/>
          <w:sz w:val="24"/>
          <w:szCs w:val="24"/>
        </w:rPr>
      </w:pPr>
      <w:r>
        <w:rPr>
          <w:rFonts w:ascii="Arial" w:hAnsi="Arial" w:cs="Arial"/>
          <w:iCs/>
          <w:sz w:val="24"/>
          <w:szCs w:val="24"/>
        </w:rPr>
        <w:t>Wir wollen das Programm „Investitionen für nationale Kultureinrichtungen in Ostdeutschland – Invest Ost“ als gesamtdeutsches Programm erweitern. Um eine Stärkung der kulturellen Orte in Städten, Gemeinden und im ländlichen Gebiet, im analogen wie im digitalen Raum zu erreichen, wollen wir die Förderung auch für kommerzielle kulturelle Veranstaltungsorte prüfen.</w:t>
      </w:r>
    </w:p>
    <w:p w:rsidR="007F452D" w:rsidRDefault="007F452D">
      <w:pPr>
        <w:autoSpaceDE w:val="0"/>
        <w:autoSpaceDN w:val="0"/>
        <w:adjustRightInd w:val="0"/>
        <w:spacing w:after="0" w:line="240" w:lineRule="auto"/>
        <w:contextualSpacing/>
        <w:jc w:val="both"/>
        <w:rPr>
          <w:rFonts w:ascii="Arial" w:hAnsi="Arial" w:cs="Arial"/>
          <w:iCs/>
          <w:sz w:val="24"/>
          <w:szCs w:val="24"/>
        </w:rPr>
      </w:pPr>
    </w:p>
    <w:p w:rsidR="007F452D" w:rsidRDefault="006007DF">
      <w:pPr>
        <w:autoSpaceDE w:val="0"/>
        <w:autoSpaceDN w:val="0"/>
        <w:adjustRightInd w:val="0"/>
        <w:spacing w:after="0" w:line="240" w:lineRule="auto"/>
        <w:contextualSpacing/>
        <w:jc w:val="both"/>
        <w:rPr>
          <w:rFonts w:ascii="Arial" w:hAnsi="Arial" w:cs="Arial"/>
          <w:iCs/>
          <w:sz w:val="24"/>
          <w:szCs w:val="24"/>
        </w:rPr>
      </w:pPr>
      <w:r>
        <w:rPr>
          <w:rFonts w:ascii="Arial" w:hAnsi="Arial" w:cs="Arial"/>
          <w:iCs/>
          <w:sz w:val="24"/>
          <w:szCs w:val="24"/>
        </w:rPr>
        <w:t>Es wird eine umfassende Digitalisierungsstrategie des Bundes entwickelt, die auch eine mit substanziellen finanziellen Mitteln unterlegte Strategie für die Zukunft von Kultureinrichtungen und ihre digitale Transformation umfasst, unterstützt und fördert. Die Deutsche Digitale Bibliothek ist ein national bedeutsames Projekt, das in enger Vernetzung mit entsprechenden Angeboten der Länder und der EUROPEANA das kulturelle Erbe in Deutschland erschließt. Das Förderkonzept zur Digitalisierung des nationalen Filmerbes setzen wir gemeinsam mit den Ländern und der Filmwirtschaft zügig um.</w:t>
      </w:r>
    </w:p>
    <w:p w:rsidR="007F452D" w:rsidRDefault="007F452D">
      <w:pPr>
        <w:autoSpaceDE w:val="0"/>
        <w:autoSpaceDN w:val="0"/>
        <w:adjustRightInd w:val="0"/>
        <w:spacing w:after="0" w:line="240" w:lineRule="auto"/>
        <w:contextualSpacing/>
        <w:jc w:val="both"/>
        <w:rPr>
          <w:rFonts w:ascii="Arial" w:hAnsi="Arial" w:cs="Arial"/>
          <w:iCs/>
          <w:sz w:val="24"/>
          <w:szCs w:val="24"/>
        </w:rPr>
      </w:pPr>
    </w:p>
    <w:p w:rsidR="007F452D" w:rsidRDefault="006007DF">
      <w:pPr>
        <w:autoSpaceDE w:val="0"/>
        <w:autoSpaceDN w:val="0"/>
        <w:adjustRightInd w:val="0"/>
        <w:spacing w:after="0" w:line="240" w:lineRule="auto"/>
        <w:contextualSpacing/>
        <w:jc w:val="both"/>
        <w:rPr>
          <w:rFonts w:ascii="Arial" w:hAnsi="Arial" w:cs="Arial"/>
          <w:iCs/>
          <w:sz w:val="24"/>
          <w:szCs w:val="24"/>
        </w:rPr>
      </w:pPr>
      <w:r>
        <w:rPr>
          <w:rFonts w:ascii="Arial" w:hAnsi="Arial" w:cs="Arial"/>
          <w:iCs/>
          <w:sz w:val="24"/>
          <w:szCs w:val="24"/>
        </w:rPr>
        <w:t>Mit einem Programm „Kultur in den Regionen“ fördern wir zeitgenössische Kunst und Kultur. Insbesondere der freien Kultur ermöglichen wir damit deutschlandweit und auch grenzüberschreitend innovative kulturelle und künstlerische Einzelprojekte und Veranstaltungen.</w:t>
      </w:r>
    </w:p>
    <w:p w:rsidR="007F452D" w:rsidRDefault="007F452D">
      <w:pPr>
        <w:autoSpaceDE w:val="0"/>
        <w:autoSpaceDN w:val="0"/>
        <w:adjustRightInd w:val="0"/>
        <w:spacing w:after="0" w:line="240" w:lineRule="auto"/>
        <w:contextualSpacing/>
        <w:jc w:val="both"/>
        <w:rPr>
          <w:rFonts w:ascii="Arial" w:hAnsi="Arial" w:cs="Arial"/>
          <w:iCs/>
          <w:sz w:val="24"/>
          <w:szCs w:val="24"/>
        </w:rPr>
      </w:pPr>
    </w:p>
    <w:p w:rsidR="007F452D" w:rsidRDefault="006007DF">
      <w:pPr>
        <w:autoSpaceDE w:val="0"/>
        <w:autoSpaceDN w:val="0"/>
        <w:adjustRightInd w:val="0"/>
        <w:spacing w:after="0" w:line="240" w:lineRule="auto"/>
        <w:contextualSpacing/>
        <w:jc w:val="both"/>
        <w:rPr>
          <w:rFonts w:ascii="Arial" w:hAnsi="Arial" w:cs="Arial"/>
          <w:iCs/>
          <w:sz w:val="24"/>
          <w:szCs w:val="24"/>
        </w:rPr>
      </w:pPr>
      <w:r>
        <w:rPr>
          <w:rFonts w:ascii="Arial" w:hAnsi="Arial" w:cs="Arial"/>
          <w:iCs/>
          <w:sz w:val="24"/>
          <w:szCs w:val="24"/>
        </w:rPr>
        <w:t>Für eine zeitgemäße und auf die Bedarfe der Kulturszene ausgerichtete Zuwendungspraxis wollen wir eine Vereinfachung und Entbürokratisierung erwirken. Zudem werden wir bewährte Förderinstrumente, wie die Bundeskulturförderfonds, entsprechend ausbauen und die Förderung der internationalen Produktionshäuser nach Evaluierung substanziell stärken.</w:t>
      </w:r>
    </w:p>
    <w:p w:rsidR="007F452D" w:rsidRDefault="007F452D">
      <w:pPr>
        <w:autoSpaceDE w:val="0"/>
        <w:autoSpaceDN w:val="0"/>
        <w:adjustRightInd w:val="0"/>
        <w:spacing w:after="0" w:line="240" w:lineRule="auto"/>
        <w:contextualSpacing/>
        <w:jc w:val="both"/>
        <w:rPr>
          <w:rFonts w:ascii="Arial" w:hAnsi="Arial" w:cs="Arial"/>
          <w:iCs/>
          <w:sz w:val="24"/>
          <w:szCs w:val="24"/>
        </w:rPr>
      </w:pP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Das Programm LandKULTUR wollen wir weiterführen und mit anderen kulturpolitischen Zielen, wie z. B. der kulturellen Vermittlung und Integration, noch stärker verknüpfen.</w:t>
      </w:r>
    </w:p>
    <w:p w:rsidR="007F452D" w:rsidRDefault="007F452D">
      <w:pPr>
        <w:autoSpaceDE w:val="0"/>
        <w:autoSpaceDN w:val="0"/>
        <w:adjustRightInd w:val="0"/>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Mit der Förderung von national und international relevanten Festivals wollen wir die vielfältigen Kulturschätze in unserem Land unterstützen.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von der Kulturstiftung des Bundes entwickelten erfolgreichen Initiativen zur Stärkung der Kulturarbeit außerhalb der Metropolen sollen fortgesetzt und, wenn möglich, bundesweit ausgebaut werden. Wir werden prüfen, wie der Bund zum Erhalt der vielfältigen Bibliothekslandschaft und ihrer zunehmend gesellschaftlichen Bedeutung beitragen kann. </w:t>
      </w:r>
      <w:r>
        <w:rPr>
          <w:rFonts w:ascii="Arial" w:hAnsi="Arial" w:cs="Arial"/>
          <w:iCs/>
          <w:sz w:val="24"/>
          <w:szCs w:val="24"/>
        </w:rPr>
        <w:t xml:space="preserve">Bibliotheken sollten auch im digitalen Zeitalter ihre zentralen Funktionen für Bildung und Kultur erfüllen können. </w:t>
      </w:r>
      <w:r>
        <w:rPr>
          <w:rFonts w:ascii="Arial" w:hAnsi="Arial" w:cs="Arial"/>
          <w:sz w:val="24"/>
          <w:szCs w:val="24"/>
        </w:rPr>
        <w:t>Wir werden uns dafür einsetzen, dass Bibliotheksnutzern unter Wahrung der Vertragsfreiheit ein noch besserer Zugang zum Repertoire von E-Books ermöglicht wird.</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iCs/>
          <w:sz w:val="24"/>
          <w:szCs w:val="24"/>
        </w:rPr>
      </w:pPr>
      <w:r>
        <w:rPr>
          <w:rFonts w:ascii="Arial" w:hAnsi="Arial" w:cs="Arial"/>
          <w:iCs/>
          <w:sz w:val="24"/>
          <w:szCs w:val="24"/>
        </w:rPr>
        <w:lastRenderedPageBreak/>
        <w:t>Die komplementäre Finanzierung von Projekten in besonders finanzschwachen Kommunen kann auf einen Finanzierungsanteil von zehn Prozent reduziert werden.</w:t>
      </w:r>
    </w:p>
    <w:p w:rsidR="007F452D" w:rsidRDefault="007F452D">
      <w:pPr>
        <w:spacing w:after="0" w:line="240" w:lineRule="auto"/>
        <w:contextualSpacing/>
        <w:jc w:val="both"/>
        <w:rPr>
          <w:rFonts w:ascii="Arial" w:hAnsi="Arial" w:cs="Arial"/>
          <w:iCs/>
          <w:sz w:val="24"/>
          <w:szCs w:val="24"/>
        </w:rPr>
      </w:pPr>
    </w:p>
    <w:p w:rsidR="007F452D" w:rsidRDefault="006007DF">
      <w:pPr>
        <w:spacing w:after="0" w:line="240" w:lineRule="auto"/>
        <w:contextualSpacing/>
        <w:jc w:val="both"/>
        <w:rPr>
          <w:rFonts w:ascii="Arial" w:hAnsi="Arial" w:cs="Arial"/>
          <w:iCs/>
          <w:sz w:val="24"/>
          <w:szCs w:val="24"/>
        </w:rPr>
      </w:pPr>
      <w:r>
        <w:rPr>
          <w:rFonts w:ascii="Arial" w:hAnsi="Arial" w:cs="Arial"/>
          <w:iCs/>
          <w:sz w:val="24"/>
          <w:szCs w:val="24"/>
        </w:rPr>
        <w:t xml:space="preserve">Eine Initiative soll Literatur und deutsche Sprache und deren Bedeutung für unsere Gesellschaft unterstreichen. </w:t>
      </w:r>
    </w:p>
    <w:p w:rsidR="007F452D" w:rsidRDefault="007F452D">
      <w:pPr>
        <w:spacing w:after="0" w:line="240" w:lineRule="auto"/>
        <w:contextualSpacing/>
        <w:jc w:val="both"/>
        <w:rPr>
          <w:rFonts w:ascii="Arial" w:hAnsi="Arial" w:cs="Arial"/>
          <w:iCs/>
          <w:sz w:val="24"/>
          <w:szCs w:val="24"/>
        </w:rPr>
      </w:pPr>
    </w:p>
    <w:p w:rsidR="007F452D" w:rsidRDefault="006007DF">
      <w:pPr>
        <w:spacing w:after="0" w:line="240" w:lineRule="auto"/>
        <w:contextualSpacing/>
        <w:rPr>
          <w:rFonts w:ascii="Arial" w:hAnsi="Arial" w:cs="Arial"/>
          <w:sz w:val="24"/>
          <w:szCs w:val="24"/>
        </w:rPr>
      </w:pPr>
      <w:r>
        <w:rPr>
          <w:rFonts w:ascii="Arial" w:hAnsi="Arial" w:cs="Arial"/>
          <w:sz w:val="24"/>
          <w:szCs w:val="24"/>
        </w:rPr>
        <w:t xml:space="preserve">Wir bekennen uns zum Schutz und zur Förderung der vier nationalen Minderheiten in Deutschland – Dänen, Sorben, Friesen sowie Sinti und Roma. </w:t>
      </w:r>
    </w:p>
    <w:p w:rsidR="007F452D" w:rsidRDefault="007F452D">
      <w:pPr>
        <w:spacing w:after="0" w:line="240" w:lineRule="auto"/>
        <w:contextualSpacing/>
        <w:rPr>
          <w:rFonts w:ascii="Arial" w:hAnsi="Arial" w:cs="Arial"/>
          <w:sz w:val="24"/>
          <w:szCs w:val="24"/>
        </w:rPr>
      </w:pPr>
    </w:p>
    <w:p w:rsidR="007F452D" w:rsidRDefault="006007DF">
      <w:pPr>
        <w:pStyle w:val="berschrift3"/>
        <w:contextualSpacing/>
        <w:rPr>
          <w:rFonts w:cs="Arial"/>
          <w:szCs w:val="24"/>
        </w:rPr>
      </w:pPr>
      <w:r>
        <w:rPr>
          <w:rFonts w:cs="Arial"/>
          <w:szCs w:val="24"/>
        </w:rPr>
        <w:t>Soziale Lage von Künstlerinnen, Künstlern und Kreativen</w:t>
      </w:r>
    </w:p>
    <w:p w:rsidR="007F452D" w:rsidRDefault="006007DF">
      <w:pPr>
        <w:pStyle w:val="Listenabsatz"/>
        <w:spacing w:after="0" w:line="240" w:lineRule="auto"/>
        <w:ind w:left="0"/>
        <w:jc w:val="both"/>
        <w:rPr>
          <w:rFonts w:ascii="Arial" w:hAnsi="Arial" w:cs="Arial"/>
          <w:sz w:val="24"/>
          <w:szCs w:val="24"/>
        </w:rPr>
      </w:pPr>
      <w:r>
        <w:rPr>
          <w:rFonts w:ascii="Arial" w:hAnsi="Arial" w:cs="Arial"/>
          <w:sz w:val="24"/>
          <w:szCs w:val="24"/>
        </w:rPr>
        <w:t>Weil es diejenigen braucht, die Kunst und Kultur schaffen, erarbeiten wir weitere Lösungen für die besondere soziale Schutzbedürftigkeit der Künstlerinnen und Künstler und Kreativen.</w:t>
      </w:r>
      <w:r>
        <w:rPr>
          <w:rFonts w:ascii="Arial" w:hAnsi="Arial" w:cs="Arial"/>
          <w:i/>
          <w:sz w:val="24"/>
          <w:szCs w:val="24"/>
        </w:rPr>
        <w:t xml:space="preserve"> </w:t>
      </w:r>
      <w:r>
        <w:rPr>
          <w:rFonts w:ascii="Arial" w:hAnsi="Arial" w:cs="Arial"/>
          <w:sz w:val="24"/>
          <w:szCs w:val="24"/>
        </w:rPr>
        <w:t xml:space="preserve">Deshalb setzen wir uns für die verbesserte soziale Absicherung von Künstlerinnen, Künstlern und Kreativen ein. </w:t>
      </w:r>
    </w:p>
    <w:p w:rsidR="007F452D" w:rsidRDefault="007F452D">
      <w:pPr>
        <w:pStyle w:val="Listenabsatz"/>
        <w:spacing w:after="0" w:line="240" w:lineRule="auto"/>
        <w:ind w:left="0"/>
        <w:jc w:val="both"/>
        <w:rPr>
          <w:rFonts w:ascii="Arial" w:hAnsi="Arial" w:cs="Arial"/>
          <w:sz w:val="24"/>
          <w:szCs w:val="24"/>
        </w:rPr>
      </w:pPr>
    </w:p>
    <w:p w:rsidR="007F452D" w:rsidRDefault="006007DF">
      <w:pPr>
        <w:pStyle w:val="Listenabsatz"/>
        <w:spacing w:after="0" w:line="240" w:lineRule="auto"/>
        <w:ind w:left="0"/>
        <w:jc w:val="both"/>
        <w:rPr>
          <w:rFonts w:ascii="Arial" w:hAnsi="Arial" w:cs="Arial"/>
          <w:sz w:val="24"/>
          <w:szCs w:val="24"/>
        </w:rPr>
      </w:pPr>
      <w:r>
        <w:rPr>
          <w:rFonts w:ascii="Arial" w:hAnsi="Arial" w:cs="Arial"/>
          <w:sz w:val="24"/>
          <w:szCs w:val="24"/>
        </w:rPr>
        <w:t>2018 schaffen wir eine sachgerechte Anschlussregelung beim Arbeitslosengeld für überwiegend kurzbefristet Beschäftigte, die den Besonderheiten der Erwerbsbiografien der in der Kultur Beschäftigten hinreichend Rechnung trägt.</w:t>
      </w:r>
    </w:p>
    <w:p w:rsidR="007F452D" w:rsidRDefault="007F452D">
      <w:pPr>
        <w:pStyle w:val="Listenabsatz"/>
        <w:spacing w:after="0" w:line="240" w:lineRule="auto"/>
        <w:ind w:left="0"/>
        <w:jc w:val="both"/>
        <w:rPr>
          <w:rFonts w:ascii="Arial" w:hAnsi="Arial" w:cs="Arial"/>
          <w:sz w:val="24"/>
          <w:szCs w:val="24"/>
        </w:rPr>
      </w:pPr>
    </w:p>
    <w:p w:rsidR="007F452D" w:rsidRDefault="006007DF">
      <w:pPr>
        <w:pStyle w:val="Listenabsatz"/>
        <w:spacing w:after="0" w:line="240" w:lineRule="auto"/>
        <w:ind w:left="0"/>
        <w:jc w:val="both"/>
        <w:rPr>
          <w:rFonts w:ascii="Arial" w:hAnsi="Arial" w:cs="Arial"/>
          <w:sz w:val="24"/>
          <w:szCs w:val="24"/>
        </w:rPr>
      </w:pPr>
      <w:r>
        <w:rPr>
          <w:rFonts w:ascii="Arial" w:hAnsi="Arial" w:cs="Arial"/>
          <w:sz w:val="24"/>
          <w:szCs w:val="24"/>
        </w:rPr>
        <w:t>Wir setzen uns für den Erhalt der Künstlersozialversicherung ein und werden prüfen, wie dort der wechselnde Erwerbsstatus vieler Akteure des Kultur- und Medienbereichs besser berücksichtigt werden kann. Dabei ist eine Erweiterung der abgabepflichtigen Verwerter um digitale Plattformen, die eine kommerzielle Verwertung künstlerischer Leistungen ermöglichen, anzustreben.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Hauptstadtkultur</w:t>
      </w: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Im kulturellen Selbstverständnis des Landes spielt die Hauptstadt Berlin eine bedeutende, repräsentative Rolle. Die Kulturpolitik des Bundes in und für Berlin ist Ausdruck der Anerkennung der besonderen Rolle und Aufgabe der Hauptstadt, die auch im Grundgesetz ihre Verankerung gefunden hat. Angesichts der aktuellen Herausforderungen wollen wir gemeinsam mit den Ländern die Stiftung Preußischer Kulturbesitz strukturell an die Anforderungen eines modernen Kulturbetriebs mit internationaler Ausstrahlung auf Grundlage einer Evaluierung durch den Wissenschaftsrat anpassen. Wir streben an, dass sich das Humboldt Forum weit über seine Museums- und Ausstellungsarbeit hinaus zu einer internationalen Dialogplattform für globale kulturelle Ideen entwickelt.</w:t>
      </w:r>
    </w:p>
    <w:p w:rsidR="007F452D" w:rsidRDefault="007F452D">
      <w:pPr>
        <w:pStyle w:val="Text"/>
        <w:contextualSpacing/>
        <w:rPr>
          <w:rFonts w:ascii="Arial" w:hAnsi="Arial" w:cs="Arial"/>
          <w:sz w:val="24"/>
          <w:szCs w:val="24"/>
        </w:rPr>
      </w:pPr>
    </w:p>
    <w:p w:rsidR="007F452D" w:rsidRDefault="006007DF">
      <w:pPr>
        <w:pStyle w:val="berschrift3"/>
        <w:contextualSpacing/>
        <w:rPr>
          <w:rFonts w:cs="Arial"/>
          <w:szCs w:val="24"/>
        </w:rPr>
      </w:pPr>
      <w:r>
        <w:rPr>
          <w:rFonts w:cs="Arial"/>
          <w:szCs w:val="24"/>
        </w:rPr>
        <w:t>Kulturelle Bildung</w:t>
      </w: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Wir wollen</w:t>
      </w:r>
      <w:r>
        <w:rPr>
          <w:rFonts w:ascii="Arial" w:hAnsi="Arial" w:cs="Arial"/>
          <w:i/>
          <w:sz w:val="24"/>
          <w:szCs w:val="24"/>
        </w:rPr>
        <w:t xml:space="preserve"> </w:t>
      </w:r>
      <w:r>
        <w:rPr>
          <w:rFonts w:ascii="Arial" w:hAnsi="Arial" w:cs="Arial"/>
          <w:sz w:val="24"/>
          <w:szCs w:val="24"/>
        </w:rPr>
        <w:t>ein gesamtstaatliches Bündnis für kulturelle Bildung und Vermittlung sowie Medienkompetenz</w:t>
      </w:r>
      <w:r>
        <w:rPr>
          <w:rFonts w:ascii="Arial" w:hAnsi="Arial" w:cs="Arial"/>
          <w:i/>
          <w:sz w:val="24"/>
          <w:szCs w:val="24"/>
        </w:rPr>
        <w:t xml:space="preserve"> </w:t>
      </w:r>
      <w:r>
        <w:rPr>
          <w:rFonts w:ascii="Arial" w:hAnsi="Arial" w:cs="Arial"/>
          <w:sz w:val="24"/>
          <w:szCs w:val="24"/>
        </w:rPr>
        <w:t>schließen</w:t>
      </w:r>
      <w:r>
        <w:rPr>
          <w:rFonts w:ascii="Arial" w:hAnsi="Arial" w:cs="Arial"/>
          <w:i/>
          <w:sz w:val="24"/>
          <w:szCs w:val="24"/>
        </w:rPr>
        <w:t xml:space="preserve">, </w:t>
      </w:r>
      <w:r>
        <w:rPr>
          <w:rFonts w:ascii="Arial" w:hAnsi="Arial" w:cs="Arial"/>
          <w:sz w:val="24"/>
          <w:szCs w:val="24"/>
        </w:rPr>
        <w:t>um den Zugang zu Kunst, Kultur, Bildung und Medien zu stärken.</w:t>
      </w:r>
      <w:r>
        <w:rPr>
          <w:rFonts w:ascii="Arial" w:hAnsi="Arial" w:cs="Arial"/>
          <w:i/>
          <w:sz w:val="24"/>
          <w:szCs w:val="24"/>
        </w:rPr>
        <w:t xml:space="preserve"> </w:t>
      </w:r>
      <w:r>
        <w:rPr>
          <w:rFonts w:ascii="Arial" w:hAnsi="Arial" w:cs="Arial"/>
          <w:sz w:val="24"/>
          <w:szCs w:val="24"/>
        </w:rPr>
        <w:t xml:space="preserve">Kulturelle Bildung hat eine überragende Bedeutung für die individuelle Persönlichkeitsentfaltung wie auch für das Selbstverständnis und die Teilhabe an unserer Gesellschaft. Kulturelle Bildung ist auch ein Schlüsselfaktor der Integration, sie erschließt den Zugang zum gesellschaftlichen Leben. </w:t>
      </w:r>
    </w:p>
    <w:p w:rsidR="007F452D" w:rsidRDefault="007F452D">
      <w:pPr>
        <w:autoSpaceDE w:val="0"/>
        <w:autoSpaceDN w:val="0"/>
        <w:adjustRightInd w:val="0"/>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ein gesamtstaatliches Bündnis der inklusiven kulturellen Bildung. Dieses wollen wir mit anderen bestehenden Initiativen zur kulturellen Bildung, wie etwa dem Preis für kulturelle Bildung, wo es sinnvoll ist, bündeln und stärken. Um jedem von Kindesbeinen an Zugang zu kulturellen Angeboten zu ermöglichen, unterstützen wir mit Bundesmitteln die Initiative „Kultur macht stark. Bündnisse für Bildung“ mit außerschulischen Angeboten wie Vorlesepaten, Theatern, Musikschulen oder Bibliotheken. </w:t>
      </w:r>
      <w:r>
        <w:rPr>
          <w:rFonts w:ascii="Arial" w:hAnsi="Arial" w:cs="Arial"/>
          <w:sz w:val="24"/>
          <w:szCs w:val="24"/>
        </w:rPr>
        <w:lastRenderedPageBreak/>
        <w:t>Die Mittel für kulturelle Bildung im Kinder- und Jugendplan des Bundes, für das Freiwillige Soziale Jahr Kultur, den Bundes- und den internationalen Freiwilligendienst „Kulturweit“ wollen wir verstärken.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Soziokulturelle Zentren spielen eine zentrale Rolle für Integration und Teilhabe vor Ort und sollen gestärkt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mehr Menschen für kulturelle Angebote interessieren und begeistern. Der Bund ist daher bestrebt, ausgehend vom Modellversuch eines kostenfreien Eintritts</w:t>
      </w:r>
      <w:r>
        <w:rPr>
          <w:rFonts w:ascii="Arial" w:hAnsi="Arial" w:cs="Arial"/>
          <w:b/>
          <w:sz w:val="24"/>
          <w:szCs w:val="24"/>
        </w:rPr>
        <w:t xml:space="preserve"> </w:t>
      </w:r>
      <w:r>
        <w:rPr>
          <w:rFonts w:ascii="Arial" w:hAnsi="Arial" w:cs="Arial"/>
          <w:sz w:val="24"/>
          <w:szCs w:val="24"/>
        </w:rPr>
        <w:t>zur Dauerausstellung im Humboldt Forum, in den vom Bund geförderten Kultureinrichtungen vermehrt und regelmäßig den freien Eintritt zu ermöglichen.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vom Bund geförderten Kultureinrichtungen sollen das Ziel umfassender kultureller Teilhabe als Kern- und Querschnittsaufgabe in der Organisationsstruktur verankern und nach Möglichkeit in den Bereichen Gremien und Personal, Ansprache des Publikums, Programmgestaltung und Zugänglichkeit ihrer Angebote berücksichtigen.</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begrüßen, dass Einrichtungen der kulturellen und politischen Bildung des Bundes, auch vor dem Hintergrund der erinnerungspolitischen Arbeit der Geschichtsmuseen des Bundes sowie der Gedenk- und Erinnerungsorte, stärker zusammenarbeiten. Wir wollen die pädagogische Vermittlungsarbeit bei den vom Bund geförderten Museen, Gedenkstätten und anderen Kultureinrichtungen personell und finanziell deutlich stärken.</w:t>
      </w:r>
    </w:p>
    <w:p w:rsidR="007F452D" w:rsidRDefault="007F452D">
      <w:pPr>
        <w:spacing w:after="0" w:line="240" w:lineRule="auto"/>
        <w:contextualSpacing/>
        <w:jc w:val="both"/>
        <w:rPr>
          <w:rFonts w:ascii="Arial" w:hAnsi="Arial" w:cs="Arial"/>
          <w:sz w:val="24"/>
          <w:szCs w:val="24"/>
        </w:rPr>
      </w:pPr>
    </w:p>
    <w:p w:rsidR="007F452D" w:rsidRDefault="006007DF">
      <w:pPr>
        <w:pStyle w:val="berschrift3"/>
        <w:contextualSpacing/>
        <w:rPr>
          <w:rFonts w:cs="Arial"/>
          <w:szCs w:val="24"/>
        </w:rPr>
      </w:pPr>
      <w:r>
        <w:rPr>
          <w:rFonts w:cs="Arial"/>
          <w:szCs w:val="24"/>
        </w:rPr>
        <w:t>Gedenken und Erinnern</w:t>
      </w: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Ohne Erinnerung keine Zukunft – zum demokratischen Grundkonsens in Deutschland gehören die Aufarbeitung der NS-Terrorherrschaft und der SED-Diktatur, der deutschen Kolonialgeschichte, aber auch positive Momente unserer Demokratiegeschichte.</w:t>
      </w:r>
    </w:p>
    <w:p w:rsidR="007F452D" w:rsidRDefault="007F452D">
      <w:pPr>
        <w:autoSpaceDE w:val="0"/>
        <w:autoSpaceDN w:val="0"/>
        <w:adjustRightInd w:val="0"/>
        <w:spacing w:after="0" w:line="240" w:lineRule="auto"/>
        <w:contextualSpacing/>
        <w:jc w:val="both"/>
        <w:rPr>
          <w:rFonts w:ascii="Arial" w:hAnsi="Arial" w:cs="Arial"/>
          <w:i/>
          <w:strike/>
          <w:sz w:val="24"/>
          <w:szCs w:val="24"/>
        </w:rPr>
      </w:pPr>
    </w:p>
    <w:p w:rsidR="007F452D" w:rsidRDefault="006007DF">
      <w:pPr>
        <w:spacing w:after="0" w:line="240" w:lineRule="auto"/>
        <w:contextualSpacing/>
        <w:jc w:val="both"/>
        <w:rPr>
          <w:rFonts w:ascii="Arial" w:hAnsi="Arial" w:cs="Arial"/>
          <w:sz w:val="24"/>
          <w:szCs w:val="24"/>
        </w:rPr>
      </w:pPr>
      <w:bookmarkStart w:id="81" w:name="_Hlk504753470"/>
      <w:r>
        <w:rPr>
          <w:rFonts w:ascii="Arial" w:hAnsi="Arial" w:cs="Arial"/>
          <w:sz w:val="24"/>
          <w:szCs w:val="24"/>
        </w:rPr>
        <w:t>Deutschland ist aufgrund seiner Geschichte besonders dafür verantwortlich, die Erinnerung an die Folgen von Diktatur und Gewaltherrschaft wachzuhalten. Dies ist Teil unseres nationalen Selbstverständnisses. Das Gedenken an die beiden deutschen Diktaturen darf nicht mit Verweis auf die jeweilige andere zu einer Relativierung der NS-Terrorherrschaft noch zu einer Bagatellisierung des SED-Unrechts führen.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die dezentrale Erinnerungskultur mit ihrem zivilgesellschaftlichen Enga</w:t>
      </w:r>
      <w:r>
        <w:rPr>
          <w:rFonts w:ascii="Arial" w:hAnsi="Arial" w:cs="Arial"/>
          <w:sz w:val="24"/>
          <w:szCs w:val="24"/>
        </w:rPr>
        <w:softHyphen/>
        <w:t xml:space="preserve">gement stärken und zukünftig auch kleinere Initiativen und Gedenkstätten im In- und Ausland besser unterstützen. Wir wollen den Erhalt der authentischen Gedenkorte und Zeugnisse kontinuierlich fördern und Steigerungen der Bundesbeteiligungen bei den Investitionen im Bereich der Erinnerungskultur erreichen. Die Bundesregierung unterstützt vielfältige Aktivitäten und Projekte der Aufarbeitung der </w:t>
      </w:r>
      <w:r w:rsidR="000E46EC">
        <w:rPr>
          <w:rFonts w:ascii="Arial" w:hAnsi="Arial" w:cs="Arial"/>
          <w:sz w:val="24"/>
          <w:szCs w:val="24"/>
        </w:rPr>
        <w:br/>
      </w:r>
      <w:r>
        <w:rPr>
          <w:rFonts w:ascii="Arial" w:hAnsi="Arial" w:cs="Arial"/>
          <w:sz w:val="24"/>
          <w:szCs w:val="24"/>
        </w:rPr>
        <w:t>NS</w:t>
      </w:r>
      <w:r>
        <w:rPr>
          <w:rFonts w:ascii="Arial" w:hAnsi="Arial" w:cs="Arial"/>
          <w:sz w:val="24"/>
          <w:szCs w:val="24"/>
        </w:rPr>
        <w:noBreakHyphen/>
        <w:t>Terrorherrschaft und der SED-Diktatur, die Toleranz fördern, Sozialkompetenz und Demokratieverständnis stärken, gerade auch in der Arbeit mit Jugendlichen und Er</w:t>
      </w:r>
      <w:r>
        <w:rPr>
          <w:rFonts w:ascii="Arial" w:hAnsi="Arial" w:cs="Arial"/>
          <w:sz w:val="24"/>
          <w:szCs w:val="24"/>
        </w:rPr>
        <w:softHyphen/>
        <w:t xml:space="preserve">wachsenen und im Zusammenwirken mit Zeitzeugen.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vor allem jüngere Menschen dazu bewegen, Gedenkstätten zu besuchen. Deshalb unterstützen wir die Gedenkeinrichtungen bei der Weiterentwicklung ihrer pädagogischen, digitalen und audio-visuellen Vermittlungskonzepte. Eine ethnisch und religiös zunehmend heterogene Zusammensetzung der Besuchergruppen erfordert dabei eine besondere Aufmerksamkeit. Neben der Stärkung der pädagogischen Arbeit wird als ein Teil dieser Förderinitiative das Programm „Jugend erinnert“ ins </w:t>
      </w:r>
      <w:r>
        <w:rPr>
          <w:rFonts w:ascii="Arial" w:hAnsi="Arial" w:cs="Arial"/>
          <w:sz w:val="24"/>
          <w:szCs w:val="24"/>
        </w:rPr>
        <w:lastRenderedPageBreak/>
        <w:t>Leben gerufen, um Austausch und Begegnungen sowie Gedenkstättenfahrten mit entsprechenden Workshops für Schulklassen zu fördern und damit dem wachsenden Antisemitismus und Antiziganismus entgegenzuwirken.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bekennen uns zur Unterstützung der jüdischen Gemeinden. Wir sind dankbar, dass sich in Deutschland nach der Shoah wieder ein reichhaltiges jüdisches Leben</w:t>
      </w:r>
      <w:r>
        <w:rPr>
          <w:rFonts w:ascii="Arial" w:hAnsi="Arial" w:cs="Arial"/>
          <w:bCs/>
          <w:sz w:val="24"/>
          <w:szCs w:val="24"/>
        </w:rPr>
        <w:t xml:space="preserve"> </w:t>
      </w:r>
      <w:r>
        <w:rPr>
          <w:rFonts w:ascii="Arial" w:hAnsi="Arial" w:cs="Arial"/>
          <w:sz w:val="24"/>
          <w:szCs w:val="24"/>
        </w:rPr>
        <w:t>entfaltet hat. Nach der Entrechtung und der Ermordung von sechs Millionen europäischen Juden haben wir Deutschen eine immerwährende Verantwortung im Kampf gegen Antisemitismus.</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Bisher weniger beachtete Opfergruppen des Nationalsozialismus wollen wir anerkennen und ihre Geschichte aufarbeiten. Wir stärken in der Hauptstadt das Gedenken an die Opfer des deutschen Vernichtungskrieges im Osten im Dialog mit den osteuropäischen Nachbarn.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Stiftung Denkmal für die ermordeten Juden Europas soll noch besser in die Lage versetzt werden, Initiativen, insbesondere in Osteuropa, zu bestehenden Gedenkorten bei ihrer Aufarbeitungsarbeit zu unterstützen oder Initiativen für die Erforschung noch unbekannter Orte des Holocaust zu fördern.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Auch die fortgesetzte Aufarbeitung der NS-Vergangenheit von Ministerien, Bundesbehörden sowie des Deutschen Bundestags wird weiter unterstützt.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ind w:right="141"/>
        <w:contextualSpacing/>
        <w:jc w:val="both"/>
        <w:rPr>
          <w:rFonts w:ascii="Arial" w:hAnsi="Arial" w:cs="Arial"/>
          <w:sz w:val="24"/>
          <w:szCs w:val="24"/>
        </w:rPr>
      </w:pPr>
      <w:r>
        <w:rPr>
          <w:rFonts w:ascii="Arial" w:hAnsi="Arial" w:cs="Arial"/>
          <w:sz w:val="24"/>
          <w:szCs w:val="24"/>
        </w:rPr>
        <w:t xml:space="preserve">In Zusammenarbeit mit Opferverbänden und Gedenkstätten wollen wir insbesondere die nachwachsenden Generationen ohne eigene Diktaturerfahrung für das Unrecht der SED-Diktatur sensibilisieren. </w:t>
      </w:r>
      <w:bookmarkEnd w:id="81"/>
    </w:p>
    <w:p w:rsidR="007F452D" w:rsidRDefault="007F452D">
      <w:pPr>
        <w:spacing w:after="0" w:line="240" w:lineRule="auto"/>
        <w:ind w:right="141"/>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Das Stasiunterlagengesetz hat sich bewährt. Die Überprüfungsmöglichkeit auf eine hauptamtliche oder inoffizielle Stasitätigkeit im öffentlichen Dienst soll für einen weiter zu beschränkenden Personenkreis bis zum 31. Dezember 2030 verlängert werden. Im Lichte der Ergebnisse der Expertenkommission und im Benehmen mit den Opferverbänden werden wir die Stasiunterlagenbehörde zukunftsfest machen.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Den durch SED-Unrecht Geschädigten steht auch in Zukunft eine gesellschaftliche Anerkennung und Rehabilitierung zu. Deshalb wird die Koalition die Fristen in den Rehabilitierungsgesetzen streichen. </w:t>
      </w:r>
    </w:p>
    <w:p w:rsidR="007F452D" w:rsidRDefault="007F452D">
      <w:pPr>
        <w:spacing w:after="0" w:line="240" w:lineRule="auto"/>
        <w:contextualSpacing/>
        <w:jc w:val="both"/>
        <w:rPr>
          <w:rFonts w:ascii="Arial" w:hAnsi="Arial" w:cs="Arial"/>
          <w:sz w:val="24"/>
          <w:szCs w:val="24"/>
        </w:rPr>
      </w:pPr>
    </w:p>
    <w:p w:rsidR="007F452D" w:rsidRDefault="006007DF">
      <w:pPr>
        <w:keepNext/>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Die Koalitionsparteien werden eine vom Deutschen Bundestag zu beschließende Konzeption zur Förderung der Orte deutscher Demokratiegeschichte erarbeiten. Auf Grundlage der Bundestagsbeschlüsse wollen wir mit einem Freiheits- und Einheitsdenkmal in Berlin und in Leipzig an die positiven Momente unserer Demokratiegeschichte erinnern. </w:t>
      </w:r>
    </w:p>
    <w:p w:rsidR="007F452D" w:rsidRDefault="007F452D">
      <w:pPr>
        <w:spacing w:after="0" w:line="240" w:lineRule="auto"/>
        <w:ind w:right="141"/>
        <w:contextualSpacing/>
        <w:jc w:val="both"/>
        <w:rPr>
          <w:rFonts w:ascii="Arial" w:hAnsi="Arial" w:cs="Arial"/>
          <w:sz w:val="24"/>
          <w:szCs w:val="24"/>
        </w:rPr>
      </w:pPr>
    </w:p>
    <w:p w:rsidR="007F452D" w:rsidRDefault="006007DF">
      <w:pPr>
        <w:autoSpaceDE w:val="0"/>
        <w:autoSpaceDN w:val="0"/>
        <w:adjustRightInd w:val="0"/>
        <w:spacing w:after="0" w:line="240" w:lineRule="auto"/>
        <w:contextualSpacing/>
        <w:jc w:val="both"/>
        <w:rPr>
          <w:rFonts w:ascii="Arial" w:hAnsi="Arial" w:cs="Arial"/>
          <w:iCs/>
          <w:sz w:val="24"/>
          <w:szCs w:val="24"/>
        </w:rPr>
      </w:pPr>
      <w:r>
        <w:rPr>
          <w:rFonts w:ascii="Arial" w:hAnsi="Arial" w:cs="Arial"/>
          <w:sz w:val="24"/>
          <w:szCs w:val="24"/>
        </w:rPr>
        <w:t xml:space="preserve">In dieser Legislaturperiode begehen wir u. a.: 70 Jahre Grundgesetz, 100 Jahre Ende des Ersten Weltkrieges, 75 Jahre Ende des Zweiten Weltkrieges, 100 Jahre Frauenwahlrecht, 100 Jahre Weimarer Republik, 30 Jahre Friedliche Revolution und 30 Jahre Deutsche Einheit. Gemeinsam mit unseren europäischen Nachbarn wollen wir daran erinnern. </w:t>
      </w:r>
      <w:r>
        <w:rPr>
          <w:rFonts w:ascii="Arial" w:hAnsi="Arial" w:cs="Arial"/>
          <w:iCs/>
          <w:sz w:val="24"/>
          <w:szCs w:val="24"/>
        </w:rPr>
        <w:t>Nicht nur angesichts dieser wiederkehrenden Anlässe des Gedenkens soll Geschichts- und Erinnerungspolitik verstärkt und auch als Thema der Auswärtigen Kulturpolitik etabliert werden.</w:t>
      </w:r>
    </w:p>
    <w:p w:rsidR="00F709A3" w:rsidRDefault="00F709A3">
      <w:pPr>
        <w:rPr>
          <w:rFonts w:ascii="Arial" w:hAnsi="Arial" w:cs="Arial"/>
          <w:b/>
          <w:sz w:val="24"/>
          <w:szCs w:val="24"/>
        </w:rPr>
      </w:pPr>
      <w:r>
        <w:rPr>
          <w:rFonts w:cs="Arial"/>
          <w:szCs w:val="24"/>
        </w:rPr>
        <w:br w:type="page"/>
      </w:r>
    </w:p>
    <w:p w:rsidR="007F452D" w:rsidRDefault="006007DF">
      <w:pPr>
        <w:pStyle w:val="berschrift3"/>
        <w:contextualSpacing/>
        <w:rPr>
          <w:rFonts w:cs="Arial"/>
          <w:szCs w:val="24"/>
        </w:rPr>
      </w:pPr>
      <w:r>
        <w:rPr>
          <w:rFonts w:cs="Arial"/>
          <w:szCs w:val="24"/>
        </w:rPr>
        <w:lastRenderedPageBreak/>
        <w:t>Kulturelles Erbe, Kolonialismus, Flucht und Vertreibung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Das immaterielle und materielle Erbe, welches in unseren Museen, Bibliotheken und Archiven bewahrt wird, ist bedeutsam für die integrierende Kraft der Kultur sowie Ausdruck unserer Identität. Dies ist auch über das Europäische Kulturerbejahr 2018 hinaus Motivation, es für nachkommende Generationen zu erhalten.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werden auch künftig mit Nachdruck eine umfassende Provenienzforschung in Deutschland vorantreiben. Wir begrüßen, dass das Deutsche Zentrum Kulturgutverluste seine Ergebnisse zunehmend öffentlich macht.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Aus Anlass des 20-jährigen Bestehens der Washingtoner Erklärung von 1998 appellieren wir an alle öffentlichen kulturbewahrenden Einrichtungen und auch an Privatpersonen in Deutschland, sich einem Begehren auf Anrufung der „Beratenden Kommission“ für die Rückgabe NS-verfolgungsbedingt entzogener Kulturgüter nicht zu verschließen.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Aufarbeitung der Provenienzen von Kulturgut aus kolonialem Erbe in Museen und Sammlungen wollen wir – insbesondere auch über das Deutsche Zentrum Kulturgutverluste und in Zusammenarbeit mit dem Deutschen Museumsbund – mit einem eigenen Schwerpunkt fördern. Der Ankaufetat von Kulturgut, das für die deutsche Kunst und Geschichte von besonderer Bedeutung ist, soll fortgeführt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die Programme zum Erhalt des schriftlichen Kulturgutes fort. Unser kulturelles Gedächtnis muss im wahrsten Sinne des Wortes vor dem Zerfall gerettet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Wir wollen die Aufgabe der Sicherung der schriftlichen Überlieferung der Bundesrepublik für Wissenschaft, Forschung und Öffentlichkeit durch das Bundesarchiv fördern, indem wir, wo erforderlich, in Bundesgesetzen mit Löschungsvorschriften eine Anbietungspflicht für Unterlagen prüfen.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Es soll ein Programm kultureller Denkmalschutz aufgelegt werden, das unter angemessener Kofinanzierung die Sanierung und Restaurierung von Gebäuden und Denkmälern in der Fläche weiterhin fördert. Den Erhalt des baukulturellen Erbes über die Förderung von Denkmalschutz und -pflege wollen wir im Zusammenwirken mit den Ländern und unter Einbezug von Stätten der Industriekultur fortsetzen und ausbauen, ebenso wie die Förderung der UNESCO-Welterbestätten im Inland sowie das Kulturerhalt-Programm im Ausland. Der Masterplan für die Stiftung Preußische Schlösser und Gärten soll weitergeführt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ind w:right="141"/>
        <w:contextualSpacing/>
        <w:jc w:val="both"/>
        <w:rPr>
          <w:szCs w:val="24"/>
        </w:rPr>
      </w:pPr>
      <w:r>
        <w:rPr>
          <w:rFonts w:ascii="Arial" w:hAnsi="Arial" w:cs="Arial"/>
          <w:sz w:val="24"/>
          <w:szCs w:val="24"/>
        </w:rPr>
        <w:t xml:space="preserve">Das kulturelle Erbe der Deutschen in Mittel- und Osteuropa und das Kulturgut der Vertriebenen, Aussiedler und Spätaussiedler sind wichtige Bestandteile der kulturellen Identität Deutschlands. Wir wollen die im Sinne des § 96 des Bundesvertriebenengesetzes tätigen Einrichtungen gemeinsam mit den Heimatvertriebenen, Aussiedlern und deutschen Minderheiten als Träger dieses Erbes sowie im Sinne der europäischen Verständigung für die Zukunft ertüchtigen und die Kulturstiftung der deutschen Vertriebenen stärken. Wir wollen außerdem dafür Sorge tragen, dass die Konzeption der Stiftung Flucht, Vertreibung, Versöhnung in der aktuellen Legislaturperiode erfolgreich umgesetzt und weiterhin europäisch ausgerichtet wird. Die Koalitionsparteien sehen die historische Aufarbeitung von Zwangsmigration, Flucht und Vertreibung als gesamtgesellschaftliches Anliegen. Um dem Anspruch einer </w:t>
      </w:r>
      <w:r>
        <w:rPr>
          <w:rFonts w:ascii="Arial" w:hAnsi="Arial" w:cs="Arial"/>
          <w:sz w:val="24"/>
          <w:szCs w:val="24"/>
        </w:rPr>
        <w:lastRenderedPageBreak/>
        <w:t xml:space="preserve">gemeinsamen europäischen Aufarbeitung des von Diktaturen und Gewalterfahrungen geprägten 20. Jahrhunderts gerecht zu werden, will die Koalition das Europäische Netzwerk Erinnerung und Solidarität stärker unterstützen und profilieren. </w:t>
      </w:r>
    </w:p>
    <w:p w:rsidR="007F452D" w:rsidRDefault="007F452D">
      <w:pPr>
        <w:spacing w:after="0" w:line="240" w:lineRule="auto"/>
        <w:contextualSpacing/>
        <w:rPr>
          <w:rFonts w:ascii="Arial" w:hAnsi="Arial" w:cs="Arial"/>
          <w:sz w:val="24"/>
          <w:szCs w:val="24"/>
        </w:rPr>
      </w:pPr>
    </w:p>
    <w:p w:rsidR="007F452D" w:rsidRDefault="006007DF">
      <w:pPr>
        <w:pStyle w:val="berschrift3"/>
        <w:contextualSpacing/>
        <w:rPr>
          <w:rFonts w:cs="Arial"/>
          <w:szCs w:val="24"/>
        </w:rPr>
      </w:pPr>
      <w:r>
        <w:rPr>
          <w:rFonts w:cs="Arial"/>
          <w:szCs w:val="24"/>
        </w:rPr>
        <w:t xml:space="preserve">Kultur- und Kreativwirtschaft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Kultur- und Kreativwirtschaft ist nicht nur Beschäftigungs- und Wachstumstreiber, sondern auch Impulsgeber für gesellschaftliche Erneuerung und zukünftige Entwicklungen in unserer Arbeitswelt, Wirtschaft, Kultur, Bildung und Gesellschaft.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streben eine Stärkung der Kultur- und Kreativwirtschaft und die Erweiterung der Innovations- und Außenwirtschaftsförderung</w:t>
      </w:r>
      <w:r>
        <w:rPr>
          <w:rFonts w:ascii="Arial" w:hAnsi="Arial" w:cs="Arial"/>
          <w:i/>
          <w:sz w:val="24"/>
          <w:szCs w:val="24"/>
        </w:rPr>
        <w:t xml:space="preserve"> </w:t>
      </w:r>
      <w:r>
        <w:rPr>
          <w:rFonts w:ascii="Arial" w:hAnsi="Arial" w:cs="Arial"/>
          <w:sz w:val="24"/>
          <w:szCs w:val="24"/>
        </w:rPr>
        <w:t>und die Weiterentwicklung von Finanzierungs- und Förderinstrumenten an, um inhaltebezogene und immaterielle Innovationen, Leistungen und Produkte der Kreativwirtschaft anzusprechen. Weiterhin wollen wir die wirtschaftlichen Rahmenbedingungen für künstlerisches und kreatives Schaffen im Urheberrecht verbessern. Die Verbindung kultureller Angebote mit der Kreativwirtschaft trägt dazu bei, Städte und Regionen attraktiver zu machen.</w:t>
      </w:r>
    </w:p>
    <w:p w:rsidR="007F452D" w:rsidRDefault="007F452D">
      <w:pPr>
        <w:spacing w:after="0" w:line="240" w:lineRule="auto"/>
        <w:contextualSpacing/>
        <w:jc w:val="both"/>
        <w:rPr>
          <w:rFonts w:ascii="Arial" w:hAnsi="Arial" w:cs="Arial"/>
          <w:sz w:val="24"/>
          <w:szCs w:val="24"/>
        </w:rPr>
      </w:pPr>
    </w:p>
    <w:p w:rsidR="007F452D" w:rsidRDefault="006007DF">
      <w:pPr>
        <w:pStyle w:val="Default"/>
        <w:keepNext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auto"/>
        </w:rPr>
      </w:pPr>
      <w:r>
        <w:rPr>
          <w:rFonts w:ascii="Arial" w:hAnsi="Arial" w:cs="Arial"/>
          <w:color w:val="auto"/>
        </w:rPr>
        <w:t>Mit Blick auf die kulturellen und medialen Herausforderungen unserer Zeit brauchen wir ein starkes Urheberrecht zum Schutz des geistigen Eigentums, das bestehende Rechtspositionen im digitalen Umfeld besser schützt, zugleich aber auch die Rahmenbedingungen für kreatives Schaffen, Verwerten und Nutzen verbessert und die Verantwortlichkeit der Plattformen verbindlich beschreibt. Die europäischen Bemühungen um eine Urheberrechtsreform dürfen nicht hinter den deutschen Rechtsstandard zurückfallen.</w:t>
      </w:r>
    </w:p>
    <w:p w:rsidR="007F452D" w:rsidRDefault="007F452D">
      <w:pPr>
        <w:pStyle w:val="Default"/>
        <w:keepNext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b/>
          <w:color w:val="auto"/>
        </w:rPr>
      </w:pPr>
    </w:p>
    <w:p w:rsidR="007F452D" w:rsidRDefault="006007DF">
      <w:pPr>
        <w:pStyle w:val="Default"/>
        <w:keepNext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auto"/>
        </w:rPr>
      </w:pPr>
      <w:r>
        <w:rPr>
          <w:rFonts w:ascii="Arial" w:hAnsi="Arial" w:cs="Arial"/>
          <w:color w:val="auto"/>
        </w:rPr>
        <w:t>Wir wollen digitale Plattformen und Intermediäre an der Refinanzierung der kulturellen und medialen Inhalteproduktion angemessen beteiligen. Hierzu streben wir mit Blick auf Art. 13 der Urheberrechts-Richtlinie einen Ausgleich der Interessen von Urhebern, Nutzern und Plattformbetreibern an und werden einen Vorstoß zur Überarbeitung des Haftungsprivilegs in der E-Commerce-Richtlinie prüfen.</w:t>
      </w:r>
    </w:p>
    <w:p w:rsidR="007F452D" w:rsidRDefault="007F452D">
      <w:pPr>
        <w:pStyle w:val="Default"/>
        <w:keepNext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auto"/>
        </w:rPr>
      </w:pPr>
    </w:p>
    <w:p w:rsidR="007F452D" w:rsidRDefault="006007DF">
      <w:pPr>
        <w:pStyle w:val="Default"/>
        <w:keepNext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auto"/>
        </w:rPr>
      </w:pPr>
      <w:r>
        <w:rPr>
          <w:rFonts w:ascii="Arial" w:hAnsi="Arial" w:cs="Arial"/>
          <w:color w:val="auto"/>
        </w:rPr>
        <w:t>Wir setzen uns auch auf europäischer Ebene für die Anwendung des ermäßigten Mehrwertsteuersatzes bei gewerblich gehandelten Kunstgegenständen, E-Books, E</w:t>
      </w:r>
      <w:r>
        <w:rPr>
          <w:rFonts w:ascii="Arial" w:hAnsi="Arial" w:cs="Arial"/>
          <w:color w:val="auto"/>
        </w:rPr>
        <w:noBreakHyphen/>
        <w:t>Papers und anderen elektronischen Informationsmedien ein. Wir wirken darauf hin, dass der ursprüngliche gesetzgeberische Wille für den Kunsthandel aus dem Jahr 2014 verwirklicht wird.</w:t>
      </w:r>
    </w:p>
    <w:p w:rsidR="007F452D" w:rsidRDefault="007F452D">
      <w:pPr>
        <w:pStyle w:val="berschrift3"/>
        <w:contextualSpacing/>
        <w:rPr>
          <w:rFonts w:cs="Arial"/>
          <w:b w:val="0"/>
          <w:szCs w:val="24"/>
        </w:rPr>
      </w:pPr>
    </w:p>
    <w:p w:rsidR="007F452D" w:rsidRDefault="006007DF">
      <w:pPr>
        <w:pStyle w:val="berschrift3"/>
        <w:contextualSpacing/>
        <w:rPr>
          <w:rFonts w:cs="Arial"/>
          <w:szCs w:val="24"/>
        </w:rPr>
      </w:pPr>
      <w:r>
        <w:rPr>
          <w:rFonts w:cs="Arial"/>
          <w:szCs w:val="24"/>
        </w:rPr>
        <w:t xml:space="preserve">Film, Games und Musikwirtschaft </w:t>
      </w: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Der Film ist ein bedeutendes Kultur- und Wirtschaftsgut. Wir wollen die internationale Wettbewerbsfähigkeit des Film- und Medienstandortes Deutschland in seiner thematischen und regionalen Vielfalt nachhaltig sicherstellen. Wir wollen eine Gesamtbetrachtung der audiovisuellen Industrien von Bund und Ländern. </w:t>
      </w:r>
    </w:p>
    <w:p w:rsidR="007F452D" w:rsidRDefault="007F452D">
      <w:pPr>
        <w:autoSpaceDE w:val="0"/>
        <w:autoSpaceDN w:val="0"/>
        <w:adjustRightInd w:val="0"/>
        <w:spacing w:after="0" w:line="240" w:lineRule="auto"/>
        <w:contextualSpacing/>
        <w:jc w:val="both"/>
        <w:rPr>
          <w:rFonts w:ascii="Arial" w:hAnsi="Arial" w:cs="Arial"/>
          <w:sz w:val="24"/>
          <w:szCs w:val="24"/>
        </w:rPr>
      </w:pP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Wir wollen die kulturelle und wirtschaftliche Filmförderung mindestens auf dem aktuellen Niveau fortsetzen. Wir wollen die Förderinstrumente, insbesondere den Deutschen Filmförderfonds I und II sowie den German Motion Picture Fund, besser aufeinander abstimmen und mit den Möglichkeiten von German Films, der Außenkultur- und Außenwirtschaftsförderung besser verzahnen. Wir wollen eine umfassende Förderung audiovisueller Inhalte (Kino, Serien, High-End TV, VFX, Animation, Virtual Reality) einführen, um den Produktionsstandort Deutschland weiter zu stärken und eine Abwanderung deutscher Produktionen ins Ausland zu verhindern. </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lastRenderedPageBreak/>
        <w:t>Wir prüfen die Einbeziehung weiterer Verwertungsformen audiovisueller Inhalte, wie z. B. Streaming-Dienste, in die solidarische Filmförderung (FFG).</w:t>
      </w:r>
    </w:p>
    <w:p w:rsidR="007F452D" w:rsidRDefault="007F452D">
      <w:pPr>
        <w:spacing w:after="0" w:line="240" w:lineRule="auto"/>
        <w:contextualSpacing/>
        <w:jc w:val="both"/>
        <w:rPr>
          <w:rFonts w:ascii="Arial" w:hAnsi="Arial" w:cs="Arial"/>
          <w:b/>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Damit der kulturell anspruchsvolle Kinofilm in der Fläche wirkt, wollen wir den Kulturort Kino auch außerhalb von Ballungsgebieten durch ein kofinanziertes „Zukunftsprogramm Kino“ stärken und erhalten.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seitens des Bundes eine Förderung von Games zur Entwicklung hochwertiger digitaler Spiele einführen, um den Entwicklerstandort Deutschland zu stärken. Den Deutschen Computerspielpreis wollen wir unter Beteiligung der Games-Branche weiterentwickeln und stärken.</w:t>
      </w:r>
    </w:p>
    <w:p w:rsidR="007F452D" w:rsidRDefault="007F452D">
      <w:pPr>
        <w:spacing w:after="0" w:line="240" w:lineRule="auto"/>
        <w:ind w:right="537"/>
        <w:contextualSpacing/>
        <w:jc w:val="both"/>
        <w:rPr>
          <w:rFonts w:ascii="Arial" w:hAnsi="Arial" w:cs="Arial"/>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Die Musikwirtschaft hat insbesondere im Hinblick auf die Entwicklung neuer Geschäftsmodelle in der Digitalisierung eine wesentliche Vorbildfunktion innerhalb der Kreativwirtschaft. Wir wollen ihre kulturellen und wirtschaftlichen Grundlagen festigen, ihre gemeinsamen Plattformen ausbauen und ihre internationale Wahrnehmbarkeit stärken.</w:t>
      </w:r>
    </w:p>
    <w:p w:rsidR="000E46EC" w:rsidRDefault="000E46EC">
      <w:pPr>
        <w:pStyle w:val="Text"/>
        <w:contextualSpacing/>
        <w:jc w:val="both"/>
        <w:rPr>
          <w:rFonts w:ascii="Arial" w:eastAsiaTheme="majorEastAsia" w:hAnsi="Arial" w:cs="Arial"/>
          <w:b/>
          <w:bCs/>
          <w:sz w:val="24"/>
          <w:szCs w:val="24"/>
        </w:rPr>
      </w:pPr>
    </w:p>
    <w:p w:rsidR="007F452D" w:rsidRDefault="006007DF">
      <w:pPr>
        <w:pStyle w:val="berschrift3"/>
        <w:contextualSpacing/>
        <w:rPr>
          <w:rFonts w:cs="Arial"/>
          <w:szCs w:val="24"/>
        </w:rPr>
      </w:pPr>
      <w:r>
        <w:rPr>
          <w:rFonts w:cs="Arial"/>
          <w:szCs w:val="24"/>
        </w:rPr>
        <w:t xml:space="preserve">Medien, Medienvielfalt und Medienkompetenz </w:t>
      </w: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eastAsia="Calibri" w:hAnsi="Arial" w:cs="Arial"/>
          <w:sz w:val="24"/>
          <w:szCs w:val="24"/>
        </w:rPr>
        <w:t xml:space="preserve">Demokratie braucht eine informierte und vielfältige Öffentlichkeit. Presse- und Medienfreiheit, Medienvielfalt und -qualität sind für uns grundlegende Werte, die wir insbesondere im digitalen Zeitalter stärken müssen. </w:t>
      </w:r>
      <w:r>
        <w:rPr>
          <w:rFonts w:ascii="Arial" w:hAnsi="Arial" w:cs="Arial"/>
          <w:sz w:val="24"/>
          <w:szCs w:val="24"/>
        </w:rPr>
        <w:t xml:space="preserve">Nur ein freier Zugang zu Medien und Informationen, qualitativ hochwertige journalistisch-redaktionelle Angebote und die notwendige Medienkompetenz ermöglichen kommunikative Chancenfreiheit und gleichberechtigte Teilhabe aller. </w:t>
      </w:r>
    </w:p>
    <w:p w:rsidR="007F452D" w:rsidRDefault="007F452D">
      <w:pPr>
        <w:autoSpaceDE w:val="0"/>
        <w:autoSpaceDN w:val="0"/>
        <w:adjustRightInd w:val="0"/>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Wissen um die Zuständigkeit der Länder bekennt sich die Koalition zur dualen Medienordnung. Wir brauchen einen starken öffentlich-rechtlichen und privaten Rundfunk und eine starke und vielfältige Presselandschaft.</w:t>
      </w:r>
    </w:p>
    <w:p w:rsidR="007F452D" w:rsidRDefault="007F452D">
      <w:pPr>
        <w:spacing w:after="0" w:line="240" w:lineRule="auto"/>
        <w:contextualSpacing/>
        <w:jc w:val="both"/>
        <w:rPr>
          <w:rFonts w:ascii="Arial" w:hAnsi="Arial" w:cs="Arial"/>
          <w:sz w:val="24"/>
          <w:szCs w:val="24"/>
        </w:rPr>
      </w:pPr>
    </w:p>
    <w:p w:rsidR="007F452D" w:rsidRDefault="006007DF">
      <w:pPr>
        <w:autoSpaceDE w:val="0"/>
        <w:autoSpaceDN w:val="0"/>
        <w:adjustRightInd w:val="0"/>
        <w:spacing w:after="0" w:line="240" w:lineRule="auto"/>
        <w:contextualSpacing/>
        <w:jc w:val="both"/>
        <w:rPr>
          <w:rFonts w:ascii="Arial" w:hAnsi="Arial" w:cs="Arial"/>
          <w:bCs/>
          <w:sz w:val="24"/>
          <w:szCs w:val="24"/>
        </w:rPr>
      </w:pPr>
      <w:r>
        <w:rPr>
          <w:rFonts w:ascii="Arial" w:hAnsi="Arial" w:cs="Arial"/>
          <w:sz w:val="24"/>
          <w:szCs w:val="24"/>
        </w:rPr>
        <w:t xml:space="preserve">Wir sind uns einig, dass der Bund unter Wahrung der Länderkompetenz die Länder dabei unterstützt, Medienplattformen und </w:t>
      </w:r>
      <w:r>
        <w:rPr>
          <w:rFonts w:ascii="Arial" w:hAnsi="Arial" w:cs="Arial"/>
          <w:bCs/>
          <w:sz w:val="24"/>
          <w:szCs w:val="24"/>
        </w:rPr>
        <w:t xml:space="preserve">Intermediäre wie Suchmaschinen, Videoplattformen oder soziale Netzwerke in die gemeinsamen Anstrengungen zur Sicherung von Medienvielfalt, fairem Wettbewerb und Meinungs- und Persönlichkeitsrechtsschutz national und europäisch stärker einzubeziehen. </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Eine freie Presse und freie Medien brauchen auch in Zukunft einen wirksamen Berufsgeheimnis- und Informantenschutz.</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autoSpaceDE w:val="0"/>
        <w:autoSpaceDN w:val="0"/>
        <w:adjustRightInd w:val="0"/>
        <w:spacing w:after="0" w:line="240" w:lineRule="auto"/>
        <w:contextualSpacing/>
        <w:jc w:val="both"/>
        <w:rPr>
          <w:rFonts w:ascii="Arial" w:hAnsi="Arial" w:cs="Arial"/>
          <w:bCs/>
          <w:sz w:val="24"/>
          <w:szCs w:val="24"/>
        </w:rPr>
      </w:pPr>
      <w:r>
        <w:rPr>
          <w:rFonts w:ascii="Arial" w:hAnsi="Arial" w:cs="Arial"/>
          <w:sz w:val="24"/>
          <w:szCs w:val="24"/>
        </w:rPr>
        <w:t xml:space="preserve">Verlage und Journalistinnen und Journalisten brauchen verlässliche Rahmenbedingungen seitens der Politik. Wir wollen diese dadurch verbessern, dass eine bessere Rechtsdurchsetzung für journalistische Inhalte ermöglicht, das Presse-Grosso gesichert, der ermäßigte Mehrwertsteuersatz erhalten und weitergehende Instrumente wie neue Finanzierungsmodelle oder indirekte </w:t>
      </w:r>
      <w:r>
        <w:rPr>
          <w:rFonts w:ascii="Arial" w:hAnsi="Arial" w:cs="Arial"/>
          <w:bCs/>
          <w:sz w:val="24"/>
          <w:szCs w:val="24"/>
        </w:rPr>
        <w:t>Fördermaßnahmen geprüft werden.</w:t>
      </w:r>
    </w:p>
    <w:p w:rsidR="007F452D" w:rsidRDefault="007F452D">
      <w:pPr>
        <w:autoSpaceDE w:val="0"/>
        <w:autoSpaceDN w:val="0"/>
        <w:adjustRightInd w:val="0"/>
        <w:spacing w:after="0" w:line="240" w:lineRule="auto"/>
        <w:contextualSpacing/>
        <w:jc w:val="both"/>
        <w:rPr>
          <w:rFonts w:ascii="Arial" w:hAnsi="Arial" w:cs="Arial"/>
          <w:bCs/>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Um gute Rahmenbedingungen für eine vielfältige Medienlandschaft sicherzustellen, werden wir künftige nationale und europäische Gesetzgebungsvorhaben noch stärker hinsichtlich ihrer Auswirkungen auf privatwirtschaftliche Medienangebote, wie z. B. durch Werbeverbote, prüfen.</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lastRenderedPageBreak/>
        <w:t>Wir setzen uns auf europäischer Ebene dafür ein, dass es in einem gemeinsamen Binnenmarkt auch für Medien und Plattformen weder Steuer- noch Abgabeoasen gibt.</w:t>
      </w:r>
    </w:p>
    <w:p w:rsidR="007F452D" w:rsidRDefault="007F452D">
      <w:pPr>
        <w:pStyle w:val="Text"/>
        <w:contextualSpacing/>
        <w:jc w:val="both"/>
        <w:rPr>
          <w:rFonts w:ascii="Arial" w:hAnsi="Arial" w:cs="Arial"/>
          <w:color w:val="auto"/>
          <w:sz w:val="24"/>
          <w:szCs w:val="24"/>
        </w:rPr>
      </w:pPr>
    </w:p>
    <w:p w:rsidR="007F452D" w:rsidRDefault="006007DF">
      <w:pPr>
        <w:pStyle w:val="Text"/>
        <w:contextualSpacing/>
        <w:jc w:val="both"/>
        <w:rPr>
          <w:rFonts w:ascii="Arial" w:hAnsi="Arial" w:cs="Arial"/>
          <w:color w:val="auto"/>
          <w:sz w:val="24"/>
          <w:szCs w:val="24"/>
        </w:rPr>
      </w:pPr>
      <w:r>
        <w:rPr>
          <w:rFonts w:ascii="Arial" w:hAnsi="Arial" w:cs="Arial"/>
          <w:color w:val="auto"/>
          <w:sz w:val="24"/>
          <w:szCs w:val="24"/>
        </w:rPr>
        <w:t>Wir werden das Buchpreisbindungsgesetz anpassen, damit internetgestützte Vertriebsarten (Affiliate-Programme) die Buchpreisbindung nicht aushebeln können.</w:t>
      </w:r>
    </w:p>
    <w:p w:rsidR="007F452D" w:rsidRDefault="007F452D">
      <w:pPr>
        <w:pStyle w:val="Text"/>
        <w:contextualSpacing/>
        <w:jc w:val="both"/>
        <w:rPr>
          <w:rFonts w:ascii="Arial" w:hAnsi="Arial" w:cs="Arial"/>
          <w:color w:val="auto"/>
          <w:sz w:val="24"/>
          <w:szCs w:val="24"/>
        </w:rPr>
      </w:pPr>
    </w:p>
    <w:p w:rsidR="007F452D" w:rsidRDefault="006007DF">
      <w:pPr>
        <w:pStyle w:val="berschrift3"/>
        <w:contextualSpacing/>
        <w:rPr>
          <w:rFonts w:cs="Arial"/>
          <w:szCs w:val="24"/>
        </w:rPr>
      </w:pPr>
      <w:r>
        <w:rPr>
          <w:rFonts w:cs="Arial"/>
          <w:szCs w:val="24"/>
        </w:rPr>
        <w:t>Kultur und Medien in Europa und der Welt</w:t>
      </w:r>
    </w:p>
    <w:p w:rsidR="007F452D" w:rsidRDefault="006007DF">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Wir wollen</w:t>
      </w:r>
      <w:r>
        <w:rPr>
          <w:rFonts w:ascii="Arial" w:hAnsi="Arial" w:cs="Arial"/>
          <w:i/>
          <w:sz w:val="24"/>
          <w:szCs w:val="24"/>
        </w:rPr>
        <w:t xml:space="preserve"> </w:t>
      </w:r>
      <w:r>
        <w:rPr>
          <w:rFonts w:ascii="Arial" w:hAnsi="Arial" w:cs="Arial"/>
          <w:sz w:val="24"/>
          <w:szCs w:val="24"/>
        </w:rPr>
        <w:t xml:space="preserve">eine Stärkung der Kultur- und Bildungspolitik und den Ausbau unserer kulturellen Infrastruktur im In- und Ausland, um die Werte unseres Landes im globalen Wettbewerb der Narrative auch im digitalen Raum erfolgreich zu vertreten. </w:t>
      </w:r>
    </w:p>
    <w:p w:rsidR="007F452D" w:rsidRDefault="007F452D">
      <w:pPr>
        <w:autoSpaceDE w:val="0"/>
        <w:autoSpaceDN w:val="0"/>
        <w:adjustRightInd w:val="0"/>
        <w:spacing w:after="0" w:line="240" w:lineRule="auto"/>
        <w:contextualSpacing/>
        <w:jc w:val="both"/>
        <w:rPr>
          <w:rFonts w:ascii="Arial" w:hAnsi="Arial" w:cs="Arial"/>
          <w:i/>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Bei der Vermittlung von Meinungs- und Pressefreiheit ist die Deutsche Welle ein unverzichtbarer Akteur, den wir, wie in den letzten Jahren begonnen, finanziell deutlich weiter stärken wollen. Wir wollen das Budget der Deutschen Welle auf das vergleichbarer europäischer Auslandssender anheben. Wir begrüßen die eingeleiteten Kooperationen der Deutschen Welle mit europäischen Rundfunkpartnern.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setzen uns ein für eine Stärkung des Beitrags von Kultur und Bildung für ein gemeinsames Europa. Mit Blick auf die deutsche EU-Ratspräsidentschaft im zweiten Halbjahr 2020 setzen wir auf den Beitrag von Kultur und Bildung, aber auch Pressefreiheit und Medienvielfalt, um unsere gemeinsame europäische Identität und den Zusammenhalt in einem freiheitlichen und demokratischen Europa zu fördern. Daher unterstützen wir den Ausbau des grenzüberschreitenden europäischen Kultur- und Jugendaustauschs sowie die Entfaltung einer europäischen Öffentlichkeit und einer starken Zivilgesellschaft.</w:t>
      </w:r>
    </w:p>
    <w:p w:rsidR="007F452D" w:rsidRDefault="007F452D">
      <w:pPr>
        <w:autoSpaceDE w:val="0"/>
        <w:autoSpaceDN w:val="0"/>
        <w:adjustRightInd w:val="0"/>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iCs/>
          <w:sz w:val="24"/>
          <w:szCs w:val="24"/>
        </w:rPr>
      </w:pPr>
      <w:r>
        <w:rPr>
          <w:rFonts w:ascii="Arial" w:hAnsi="Arial" w:cs="Arial"/>
          <w:iCs/>
          <w:sz w:val="24"/>
          <w:szCs w:val="24"/>
        </w:rPr>
        <w:t>Wir wollen die kulturelle Zusammenarbeit und den kulturellen Austausch nicht nur in der Europäischen Union, sondern in ganz Europa deutlich stärken.</w:t>
      </w:r>
    </w:p>
    <w:p w:rsidR="007F452D" w:rsidRDefault="007F452D">
      <w:pPr>
        <w:spacing w:after="0" w:line="240" w:lineRule="auto"/>
        <w:contextualSpacing/>
        <w:jc w:val="both"/>
        <w:rPr>
          <w:rFonts w:ascii="Arial" w:hAnsi="Arial" w:cs="Arial"/>
          <w:b/>
          <w:sz w:val="24"/>
          <w:szCs w:val="24"/>
        </w:rPr>
      </w:pPr>
    </w:p>
    <w:p w:rsidR="007F452D" w:rsidRDefault="006007DF" w:rsidP="00F709A3">
      <w:pPr>
        <w:spacing w:after="0" w:line="240" w:lineRule="auto"/>
        <w:contextualSpacing/>
        <w:jc w:val="both"/>
        <w:rPr>
          <w:rFonts w:ascii="Arial" w:hAnsi="Arial" w:cs="Arial"/>
          <w:b/>
          <w:sz w:val="24"/>
          <w:szCs w:val="24"/>
        </w:rPr>
      </w:pPr>
      <w:r>
        <w:rPr>
          <w:rFonts w:ascii="Arial" w:eastAsia="Calibri" w:hAnsi="Arial" w:cs="Arial"/>
          <w:sz w:val="24"/>
          <w:szCs w:val="24"/>
        </w:rPr>
        <w:t xml:space="preserve">Politik für Kultur und Wissenschaft, Medien und Bildung ist eine Politik für die offene Gesellschaft, für die Freiheit von Meinungen, Wissenschaft und Kunst. Angesichts der weltweiten Bedrohung kritischer Künstlerinnen, Intellektueller, Journalistinnen und Wissenschaftler, aber auch aus unserer historischen Verantwortung heraus unterstützen wir eine </w:t>
      </w:r>
      <w:r>
        <w:rPr>
          <w:rFonts w:ascii="Arial" w:eastAsia="Calibri" w:hAnsi="Arial" w:cs="Arial"/>
          <w:iCs/>
          <w:sz w:val="24"/>
          <w:szCs w:val="24"/>
        </w:rPr>
        <w:t>Initiative für die Freiheit von Kunst und Wissenschaft, Presse und Meinungsfreiheit, auch im Hinblick auf Exilerfahrungen</w:t>
      </w:r>
      <w:r>
        <w:rPr>
          <w:rFonts w:ascii="Arial" w:eastAsia="Calibri" w:hAnsi="Arial" w:cs="Arial"/>
          <w:sz w:val="24"/>
          <w:szCs w:val="24"/>
        </w:rPr>
        <w:t>.</w:t>
      </w:r>
      <w:r>
        <w:rPr>
          <w:rFonts w:ascii="Arial" w:hAnsi="Arial" w:cs="Arial"/>
          <w:b/>
          <w:sz w:val="24"/>
          <w:szCs w:val="24"/>
        </w:rPr>
        <w:br w:type="page"/>
      </w:r>
    </w:p>
    <w:p w:rsidR="007F452D" w:rsidRDefault="006007DF">
      <w:pPr>
        <w:pStyle w:val="berschrift1"/>
        <w:numPr>
          <w:ilvl w:val="0"/>
          <w:numId w:val="20"/>
        </w:numPr>
        <w:ind w:left="567" w:hanging="141"/>
        <w:contextualSpacing/>
      </w:pPr>
      <w:bookmarkStart w:id="82" w:name="_Toc505767202"/>
      <w:r>
        <w:lastRenderedPageBreak/>
        <w:t>Arbeitsweise der Regierung und Fraktionen</w:t>
      </w:r>
      <w:bookmarkEnd w:id="82"/>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21"/>
        </w:numPr>
        <w:contextualSpacing/>
        <w:rPr>
          <w:szCs w:val="24"/>
        </w:rPr>
      </w:pPr>
      <w:bookmarkStart w:id="83" w:name="_Toc505767203"/>
      <w:r>
        <w:rPr>
          <w:szCs w:val="24"/>
        </w:rPr>
        <w:t>Arbeitsweise der Regierung und Fraktionen</w:t>
      </w:r>
      <w:bookmarkEnd w:id="83"/>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das Vertrauen in die Demokratie und in unsere staatlichen Institutionen stärken. Im Fall einer Koalitionsbildung werden wir durch unsere Arbeitsweise in der Regierung und zwischen den Fraktionen deutlich machen, dass wir uns als Bündnis der Demokratie für die Menschen in unserem Land verstehen. Wir stärken die Entscheidungsfindung in Bundestag und Bundesrat.</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21"/>
        </w:numPr>
        <w:contextualSpacing/>
        <w:rPr>
          <w:szCs w:val="24"/>
        </w:rPr>
      </w:pPr>
      <w:bookmarkStart w:id="84" w:name="_Toc505767204"/>
      <w:r>
        <w:rPr>
          <w:szCs w:val="24"/>
        </w:rPr>
        <w:t>Kooperation der Parteien</w:t>
      </w:r>
      <w:bookmarkEnd w:id="84"/>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Diese Koalitionsvereinbarung gilt für die Dauer der 19. Wahlperiode. Die Koalitionspartner verpflichten sich, diese Vereinbarung im Regierungshandeln umzusetzen. Die Partner tragen für die gesamte Politik der Koalition gemeinsam Verantwortung.</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Koalitionspartner CDU, CSU und SPD werden ihre Arbeit in Parlament und Regierung laufend und umfassend miteinander abstimmen und zu Verfahrens-, Sach- und Personalfragen Konsens herstellen. Die Koalitionspartner treffen sich im Konfliktfall und zur Lösung streitiger grundsätzlicher Probleme zu Koalitionsgesprächen im Koalitionsausschuss.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Darüber hinaus tritt der Koalitionsausschuss auf Wunsch eines Koalitionspartners zusammen. Er berät Angelegenheiten von grundsätzlicher Bedeutung, die zwischen den Koalitionspartnern abgestimmt werden müssen. Die Koalitionsparteien werden sich einvernehmlich auf die Besetzung des Koalitionsausschusses verständigen.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Bei übergeordneten Personalfragen streben die Koalitionspartner eine insgesamt ausgewogene Lösung an, die beiden gerecht wird und eine faire Verteilung abbildet. Für Personalfragen nachgeordneter Behörden gilt das Ressortprinzip. </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21"/>
        </w:numPr>
        <w:contextualSpacing/>
        <w:rPr>
          <w:szCs w:val="24"/>
        </w:rPr>
      </w:pPr>
      <w:bookmarkStart w:id="85" w:name="_Toc505767205"/>
      <w:r>
        <w:rPr>
          <w:szCs w:val="24"/>
        </w:rPr>
        <w:t>Kooperation der Fraktionen</w:t>
      </w:r>
      <w:bookmarkEnd w:id="85"/>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Wir wollen den Bundestag wieder zum zentralen Ort der gesellschaftlichen und politischen Debatte machen.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Fraktionen werden zweimal im Jahr zu internationalen und nationalen gesellschaftlichen Themen im Plenum Orientierungsdebatten führen. Wir wollen, dass die Bundeskanzlerin dreimal jährlich im Deutschen Bundestag befragt werden kann, und die Regierungsbefragung neu strukturiert wird. Diese Vorschläge werden wir mit den anderen Fraktionen im Deutschen Bundestag besprechen.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Tagesordnung der Kabinettsitzungen soll den Fraktionen vorab mitgeteilt werden.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Bundestag und in allen von ihm beschickten Gremien stimmen die Koalitionsfraktionen einheitlich ab. Das gilt auch für Fragen, die nicht Gegenstand der vereinbarten Politik sind. Wechselnde Mehrheiten sind ausgeschlossen.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Über das Verfahren und die Arbeit im Parlament wird Einvernehmen zwischen den Koalitionsfraktionen hergestellt. Anträge und Gesetzesinitiativen auf Fraktionsebene werden gemeinsam oder, im Ausnahmefall, im gegenseitigen Einvernehmen eingebracht. Die Koalitionsfraktionen werden darüber eine Vereinbarung treffen. </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21"/>
        </w:numPr>
        <w:contextualSpacing/>
        <w:rPr>
          <w:szCs w:val="24"/>
        </w:rPr>
      </w:pPr>
      <w:bookmarkStart w:id="86" w:name="_Toc505767206"/>
      <w:r>
        <w:rPr>
          <w:szCs w:val="24"/>
        </w:rPr>
        <w:lastRenderedPageBreak/>
        <w:t>Arbeit in der Bundesregierung</w:t>
      </w:r>
      <w:bookmarkEnd w:id="86"/>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Im Kabinett wird in Fragen, die für einen Koalitionspartner von grundsätzlicher Bedeutung sind, keine Seite überstimmt. In allen Ausschüssen des Kabinetts und in allen vom Kabinett beschickten Gremien, Beiräten und Ausschüssen sind die Koalitionsfraktionen nach ihren Kräfteverhältnissen vertreten. Die Besetzung erfolgt im gegenseitigen Einvernehmen. Grundsätzlich sind alle Koalitionspartner vertreten, sofern es die Anzahl der Vertreter des Bundes zulässt.</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21"/>
        </w:numPr>
        <w:contextualSpacing/>
        <w:rPr>
          <w:szCs w:val="24"/>
        </w:rPr>
      </w:pPr>
      <w:bookmarkStart w:id="87" w:name="_Toc505767207"/>
      <w:r>
        <w:rPr>
          <w:szCs w:val="24"/>
        </w:rPr>
        <w:t>Europapolitische Koordinierung</w:t>
      </w:r>
      <w:bookmarkEnd w:id="87"/>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Um eine bestmögliche Vertretung deutscher Interessen auf europäischer Ebene zu erreichen, wird die Bundesregierung ein geschlossenes Auftreten gegenüber den europäischen Partnern und Institutionen sicherstellen. Dazu werden sich die Koalitionspartner unter Beibehaltung der bewährten Zuständigkeitsverteilung innerhalb der Bundesregierung und mit den Koalitionsfraktionen vorher eng abstimmen. Diese Abstimmungsverantwortung wird durch die Bundesministerinnen und Bundesminister im Rahmen ihrer Fach- und Koordinierungszuständigkeiten und im engen Zusammenwirken mit der Bundeskanzlerin und dem Vizekanzler wahrgenommen. Die Koordinierung gilt auch für die Räte der Europäischen Union und den Europäischen Rat.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Koalitionspartner treten bei der Europawahl gemäß der Zugehörigkeit zu ihren jeweiligen europäischen Parteienfamilien sowie in den kommenden Kommunal- und Landtagswahlen in einem fairen Wettbewerb gegeneinander an.</w:t>
      </w:r>
    </w:p>
    <w:p w:rsidR="007F452D" w:rsidRDefault="007F452D">
      <w:pPr>
        <w:spacing w:after="0" w:line="240" w:lineRule="auto"/>
        <w:contextualSpacing/>
        <w:jc w:val="both"/>
        <w:rPr>
          <w:rFonts w:ascii="Arial" w:hAnsi="Arial" w:cs="Arial"/>
          <w:sz w:val="24"/>
          <w:szCs w:val="24"/>
        </w:rPr>
      </w:pPr>
    </w:p>
    <w:p w:rsidR="007F452D" w:rsidRDefault="006007DF">
      <w:pPr>
        <w:pStyle w:val="berschrift2"/>
        <w:numPr>
          <w:ilvl w:val="1"/>
          <w:numId w:val="21"/>
        </w:numPr>
        <w:contextualSpacing/>
        <w:rPr>
          <w:szCs w:val="24"/>
        </w:rPr>
      </w:pPr>
      <w:bookmarkStart w:id="88" w:name="_Toc505767208"/>
      <w:r>
        <w:rPr>
          <w:szCs w:val="24"/>
        </w:rPr>
        <w:t>Evaluierung</w:t>
      </w:r>
      <w:bookmarkEnd w:id="88"/>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Zur Mitte der Legislaturperiode wird eine Bestandsaufnahm</w:t>
      </w:r>
      <w:r w:rsidR="00872B39">
        <w:rPr>
          <w:rFonts w:ascii="Arial" w:hAnsi="Arial" w:cs="Arial"/>
          <w:sz w:val="24"/>
          <w:szCs w:val="24"/>
        </w:rPr>
        <w:t>e</w:t>
      </w:r>
      <w:r>
        <w:rPr>
          <w:rFonts w:ascii="Arial" w:hAnsi="Arial" w:cs="Arial"/>
          <w:sz w:val="24"/>
          <w:szCs w:val="24"/>
        </w:rPr>
        <w:t xml:space="preserve"> des Koalitionsvertrages erfolgen, inwieweit dessen Bestimmungen umgesetzt wurden oder aufgrund aktueller Entwicklungen neue Vorhaben vereinbart werden müssen.</w:t>
      </w:r>
    </w:p>
    <w:p w:rsidR="007F452D" w:rsidRDefault="006007DF">
      <w:pPr>
        <w:rPr>
          <w:rFonts w:ascii="Arial" w:hAnsi="Arial" w:cs="Arial"/>
          <w:sz w:val="24"/>
          <w:szCs w:val="24"/>
        </w:rPr>
      </w:pPr>
      <w:r>
        <w:rPr>
          <w:rFonts w:ascii="Arial" w:hAnsi="Arial" w:cs="Arial"/>
          <w:sz w:val="24"/>
          <w:szCs w:val="24"/>
        </w:rPr>
        <w:br w:type="page"/>
      </w:r>
    </w:p>
    <w:p w:rsidR="007F452D" w:rsidRDefault="006007DF">
      <w:pPr>
        <w:spacing w:after="0" w:line="240" w:lineRule="auto"/>
        <w:contextualSpacing/>
        <w:jc w:val="both"/>
        <w:rPr>
          <w:rFonts w:ascii="Arial" w:hAnsi="Arial" w:cs="Arial"/>
          <w:b/>
          <w:sz w:val="24"/>
          <w:szCs w:val="24"/>
        </w:rPr>
      </w:pPr>
      <w:r>
        <w:rPr>
          <w:rFonts w:ascii="Arial" w:hAnsi="Arial" w:cs="Arial"/>
          <w:b/>
          <w:sz w:val="24"/>
          <w:szCs w:val="24"/>
        </w:rPr>
        <w:lastRenderedPageBreak/>
        <w:t>Ressortverteilung</w:t>
      </w: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Ressortverteilung der Bundesregierung aus CDU, CSU und SPD wird wie folgt festgelegt: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CDU, CSU stellt die Bundeskanzlerin.</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SPD stellt den Stellvertreter der Bundeskanzlerin. </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CDU, CSU stellt die Leitung folgender Ministerien: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Innen, Bau und Heimat (CSU)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Verteidigung (CDU) </w:t>
      </w:r>
      <w:bookmarkStart w:id="89" w:name="_GoBack"/>
      <w:bookmarkEnd w:id="89"/>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Wirtschaft und Energie (CDU)</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Gesundheit (CDU)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Bildung und Forschung (CDU)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Verkehr und digitale Infrastruktur (CSU)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Ernährung und Landwirtschaft (CDU)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Wirtschaftliche Zusammenarbeit und Entwicklung (CSU)</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Der Chef des Bundeskanzleramtes im Range eines Bundesministers wird von der CDU, CSU gestellt.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Die SPD stellt die Leitung folgender Ministerien: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Auswärtiges Amt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Finanzen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Arbeit und Soziales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Justiz und Verbraucherschutz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 xml:space="preserve">Familie, Senioren, Frauen und Jugend </w:t>
      </w:r>
    </w:p>
    <w:p w:rsidR="007F452D" w:rsidRDefault="006007DF">
      <w:pPr>
        <w:pStyle w:val="Listenabsatz"/>
        <w:numPr>
          <w:ilvl w:val="0"/>
          <w:numId w:val="31"/>
        </w:numPr>
        <w:spacing w:after="0" w:line="240" w:lineRule="auto"/>
        <w:ind w:left="284" w:hanging="284"/>
        <w:jc w:val="both"/>
        <w:rPr>
          <w:rFonts w:ascii="Arial" w:hAnsi="Arial" w:cs="Arial"/>
          <w:sz w:val="24"/>
          <w:szCs w:val="24"/>
        </w:rPr>
      </w:pPr>
      <w:r>
        <w:rPr>
          <w:rFonts w:ascii="Arial" w:hAnsi="Arial" w:cs="Arial"/>
          <w:sz w:val="24"/>
          <w:szCs w:val="24"/>
        </w:rPr>
        <w:t>Umwelt, Naturschutz und Reaktorsicherheit</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Den Staatsminister für Kultur und Medien, den Staatsminister im Kanzleramt sowie den Staatsminister für Migration, Flüchtlinge und Integration stellt die CDU.</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Die beiden Staatsminister im Auswärtigen Amt stellt die SPD.</w:t>
      </w:r>
    </w:p>
    <w:p w:rsidR="007F452D" w:rsidRDefault="007F452D">
      <w:pPr>
        <w:spacing w:after="0" w:line="240" w:lineRule="auto"/>
        <w:contextualSpacing/>
        <w:jc w:val="both"/>
        <w:rPr>
          <w:rFonts w:ascii="Arial" w:hAnsi="Arial" w:cs="Arial"/>
          <w:sz w:val="24"/>
          <w:szCs w:val="24"/>
        </w:rPr>
      </w:pPr>
    </w:p>
    <w:p w:rsidR="007F452D" w:rsidRDefault="006007DF">
      <w:pPr>
        <w:spacing w:after="0" w:line="240" w:lineRule="auto"/>
        <w:contextualSpacing/>
        <w:jc w:val="both"/>
        <w:rPr>
          <w:rFonts w:ascii="Arial" w:hAnsi="Arial" w:cs="Arial"/>
          <w:sz w:val="24"/>
          <w:szCs w:val="24"/>
        </w:rPr>
      </w:pPr>
      <w:r>
        <w:rPr>
          <w:rFonts w:ascii="Arial" w:hAnsi="Arial" w:cs="Arial"/>
          <w:sz w:val="24"/>
          <w:szCs w:val="24"/>
        </w:rPr>
        <w:t xml:space="preserve">Das Vorschlagsrecht für die jeweiligen Ämter liegt bei den verantwortlichen Parteien. </w:t>
      </w:r>
    </w:p>
    <w:p w:rsidR="00917158" w:rsidRDefault="00917158">
      <w:pPr>
        <w:spacing w:after="0" w:line="240" w:lineRule="auto"/>
        <w:contextualSpacing/>
        <w:jc w:val="both"/>
        <w:rPr>
          <w:rFonts w:ascii="Arial" w:hAnsi="Arial" w:cs="Arial"/>
          <w:sz w:val="24"/>
          <w:szCs w:val="24"/>
        </w:rPr>
      </w:pPr>
    </w:p>
    <w:p w:rsidR="00917158" w:rsidRDefault="00917158">
      <w:pPr>
        <w:spacing w:after="0" w:line="240" w:lineRule="auto"/>
        <w:contextualSpacing/>
        <w:jc w:val="both"/>
        <w:rPr>
          <w:rFonts w:ascii="Arial" w:hAnsi="Arial" w:cs="Arial"/>
          <w:sz w:val="24"/>
          <w:szCs w:val="24"/>
        </w:rPr>
      </w:pPr>
    </w:p>
    <w:p w:rsidR="00917158" w:rsidRDefault="00917158">
      <w:pPr>
        <w:spacing w:after="0" w:line="240" w:lineRule="auto"/>
        <w:contextualSpacing/>
        <w:jc w:val="both"/>
        <w:rPr>
          <w:rFonts w:ascii="Arial" w:hAnsi="Arial" w:cs="Arial"/>
          <w:sz w:val="24"/>
          <w:szCs w:val="24"/>
        </w:rPr>
      </w:pPr>
      <w:r>
        <w:rPr>
          <w:rFonts w:ascii="Arial" w:hAnsi="Arial" w:cs="Arial"/>
          <w:sz w:val="24"/>
          <w:szCs w:val="24"/>
        </w:rPr>
        <w:t>Berlin, den 12. März 2018.</w:t>
      </w:r>
    </w:p>
    <w:sectPr w:rsidR="00917158">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050" w:rsidRDefault="005B7050">
      <w:pPr>
        <w:spacing w:after="0" w:line="240" w:lineRule="auto"/>
      </w:pPr>
      <w:r>
        <w:separator/>
      </w:r>
    </w:p>
    <w:p w:rsidR="005B7050" w:rsidRDefault="005B7050"/>
    <w:p w:rsidR="005B7050" w:rsidRDefault="005B7050"/>
  </w:endnote>
  <w:endnote w:type="continuationSeparator" w:id="0">
    <w:p w:rsidR="005B7050" w:rsidRDefault="005B7050">
      <w:pPr>
        <w:spacing w:after="0" w:line="240" w:lineRule="auto"/>
      </w:pPr>
      <w:r>
        <w:continuationSeparator/>
      </w:r>
    </w:p>
    <w:p w:rsidR="005B7050" w:rsidRDefault="005B7050"/>
    <w:p w:rsidR="005B7050" w:rsidRDefault="005B7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DU Kievit Tab">
    <w:panose1 w:val="020B0500000000000000"/>
    <w:charset w:val="00"/>
    <w:family w:val="swiss"/>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ilo Serif Offc">
    <w:panose1 w:val="02010504040101020102"/>
    <w:charset w:val="00"/>
    <w:family w:val="auto"/>
    <w:pitch w:val="variable"/>
    <w:sig w:usb0="800000EF" w:usb1="4000205B"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24575"/>
      <w:docPartObj>
        <w:docPartGallery w:val="Page Numbers (Bottom of Page)"/>
        <w:docPartUnique/>
      </w:docPartObj>
    </w:sdtPr>
    <w:sdtEndPr>
      <w:rPr>
        <w:rFonts w:ascii="Arial" w:hAnsi="Arial" w:cs="Arial"/>
        <w:sz w:val="20"/>
        <w:szCs w:val="20"/>
      </w:rPr>
    </w:sdtEndPr>
    <w:sdtContent>
      <w:p w:rsidR="00917158" w:rsidRDefault="00917158">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5F35E2">
          <w:rPr>
            <w:rFonts w:ascii="Arial" w:hAnsi="Arial" w:cs="Arial"/>
            <w:noProof/>
            <w:sz w:val="20"/>
            <w:szCs w:val="20"/>
          </w:rPr>
          <w:t>6</w:t>
        </w:r>
        <w:r>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050" w:rsidRDefault="005B7050">
      <w:pPr>
        <w:spacing w:after="0" w:line="240" w:lineRule="auto"/>
      </w:pPr>
      <w:r>
        <w:separator/>
      </w:r>
    </w:p>
    <w:p w:rsidR="005B7050" w:rsidRDefault="005B7050"/>
    <w:p w:rsidR="005B7050" w:rsidRDefault="005B7050"/>
  </w:footnote>
  <w:footnote w:type="continuationSeparator" w:id="0">
    <w:p w:rsidR="005B7050" w:rsidRDefault="005B7050">
      <w:pPr>
        <w:spacing w:after="0" w:line="240" w:lineRule="auto"/>
      </w:pPr>
      <w:r>
        <w:continuationSeparator/>
      </w:r>
    </w:p>
    <w:p w:rsidR="005B7050" w:rsidRDefault="005B7050"/>
    <w:p w:rsidR="005B7050" w:rsidRDefault="005B7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158" w:rsidRDefault="00917158">
    <w:pPr>
      <w:pStyle w:val="Kopfzeile"/>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158" w:rsidRDefault="0091715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6A1"/>
    <w:multiLevelType w:val="hybridMultilevel"/>
    <w:tmpl w:val="5C38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A4B96"/>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741466"/>
    <w:multiLevelType w:val="multilevel"/>
    <w:tmpl w:val="1AE2AC50"/>
    <w:lvl w:ilvl="0">
      <w:start w:val="10"/>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7362AC"/>
    <w:multiLevelType w:val="hybridMultilevel"/>
    <w:tmpl w:val="435A64A0"/>
    <w:lvl w:ilvl="0" w:tplc="AC52775A">
      <w:numFmt w:val="bullet"/>
      <w:lvlText w:val="•"/>
      <w:lvlJc w:val="left"/>
      <w:pPr>
        <w:ind w:left="2520" w:hanging="360"/>
      </w:pPr>
      <w:rPr>
        <w:rFonts w:ascii="Arial" w:eastAsiaTheme="minorHAnsi" w:hAnsi="Arial" w:cs="Arial" w:hint="default"/>
        <w:color w:val="auto"/>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 w15:restartNumberingAfterBreak="0">
    <w:nsid w:val="139F5BB5"/>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454EF7"/>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C656B9"/>
    <w:multiLevelType w:val="hybridMultilevel"/>
    <w:tmpl w:val="634CC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202991"/>
    <w:multiLevelType w:val="hybridMultilevel"/>
    <w:tmpl w:val="A65488F6"/>
    <w:lvl w:ilvl="0" w:tplc="04070001">
      <w:start w:val="1"/>
      <w:numFmt w:val="bullet"/>
      <w:lvlText w:val=""/>
      <w:lvlJc w:val="left"/>
      <w:pPr>
        <w:ind w:left="758" w:hanging="360"/>
      </w:pPr>
      <w:rPr>
        <w:rFonts w:ascii="Symbol" w:hAnsi="Symbol" w:hint="default"/>
      </w:rPr>
    </w:lvl>
    <w:lvl w:ilvl="1" w:tplc="04070003">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8" w15:restartNumberingAfterBreak="0">
    <w:nsid w:val="1D2A0810"/>
    <w:multiLevelType w:val="hybridMultilevel"/>
    <w:tmpl w:val="F7842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E2E36"/>
    <w:multiLevelType w:val="multilevel"/>
    <w:tmpl w:val="C8089450"/>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color w:val="auto"/>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AC0A24"/>
    <w:multiLevelType w:val="multilevel"/>
    <w:tmpl w:val="4478392C"/>
    <w:lvl w:ilvl="0">
      <w:start w:val="12"/>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645EF"/>
    <w:multiLevelType w:val="hybridMultilevel"/>
    <w:tmpl w:val="470E5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6F7662"/>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FA505A"/>
    <w:multiLevelType w:val="hybridMultilevel"/>
    <w:tmpl w:val="C256051E"/>
    <w:lvl w:ilvl="0" w:tplc="F7D06FCE">
      <w:start w:val="1"/>
      <w:numFmt w:val="bullet"/>
      <w:lvlText w:val=""/>
      <w:lvlJc w:val="left"/>
      <w:pPr>
        <w:ind w:left="2520" w:hanging="360"/>
      </w:pPr>
      <w:rPr>
        <w:rFonts w:ascii="Symbol" w:hAnsi="Symbol" w:hint="default"/>
        <w:color w:val="auto"/>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4" w15:restartNumberingAfterBreak="0">
    <w:nsid w:val="31E56C23"/>
    <w:multiLevelType w:val="multilevel"/>
    <w:tmpl w:val="4478392C"/>
    <w:lvl w:ilvl="0">
      <w:start w:val="12"/>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1A123C"/>
    <w:multiLevelType w:val="multilevel"/>
    <w:tmpl w:val="FAB23040"/>
    <w:lvl w:ilvl="0">
      <w:start w:val="9"/>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E2194A"/>
    <w:multiLevelType w:val="hybridMultilevel"/>
    <w:tmpl w:val="002854E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A368B4"/>
    <w:multiLevelType w:val="hybridMultilevel"/>
    <w:tmpl w:val="1BB2EECA"/>
    <w:lvl w:ilvl="0" w:tplc="225CA402">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08B4E50"/>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8F583B"/>
    <w:multiLevelType w:val="hybridMultilevel"/>
    <w:tmpl w:val="51162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2B0CFB"/>
    <w:multiLevelType w:val="multilevel"/>
    <w:tmpl w:val="40EE4852"/>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b/>
        <w:color w:val="auto"/>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337AD6"/>
    <w:multiLevelType w:val="multilevel"/>
    <w:tmpl w:val="40EE4852"/>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b/>
        <w:color w:val="auto"/>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A24506"/>
    <w:multiLevelType w:val="multilevel"/>
    <w:tmpl w:val="D7EC0B66"/>
    <w:lvl w:ilvl="0">
      <w:start w:val="1"/>
      <w:numFmt w:val="upperRoman"/>
      <w:lvlText w:val="%1."/>
      <w:lvlJc w:val="right"/>
      <w:pPr>
        <w:ind w:left="710"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D82713"/>
    <w:multiLevelType w:val="hybridMultilevel"/>
    <w:tmpl w:val="CFC2FBBC"/>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4" w15:restartNumberingAfterBreak="0">
    <w:nsid w:val="60450930"/>
    <w:multiLevelType w:val="hybridMultilevel"/>
    <w:tmpl w:val="C54228B2"/>
    <w:lvl w:ilvl="0" w:tplc="F7D06FCE">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AC52775A">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E04893"/>
    <w:multiLevelType w:val="multilevel"/>
    <w:tmpl w:val="4478392C"/>
    <w:lvl w:ilvl="0">
      <w:start w:val="12"/>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9441EE"/>
    <w:multiLevelType w:val="hybridMultilevel"/>
    <w:tmpl w:val="33A4806C"/>
    <w:lvl w:ilvl="0" w:tplc="F7D06FCE">
      <w:start w:val="1"/>
      <w:numFmt w:val="bullet"/>
      <w:lvlText w:val=""/>
      <w:lvlJc w:val="left"/>
      <w:pPr>
        <w:ind w:left="2520" w:hanging="360"/>
      </w:pPr>
      <w:rPr>
        <w:rFonts w:ascii="Symbol" w:hAnsi="Symbol" w:hint="default"/>
        <w:color w:val="auto"/>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7" w15:restartNumberingAfterBreak="0">
    <w:nsid w:val="669A6A0C"/>
    <w:multiLevelType w:val="hybridMultilevel"/>
    <w:tmpl w:val="5DF4D8EC"/>
    <w:lvl w:ilvl="0" w:tplc="AC5277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90251F"/>
    <w:multiLevelType w:val="multilevel"/>
    <w:tmpl w:val="24A073F2"/>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color w:val="auto"/>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B45081"/>
    <w:multiLevelType w:val="hybridMultilevel"/>
    <w:tmpl w:val="4D145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427789"/>
    <w:multiLevelType w:val="multilevel"/>
    <w:tmpl w:val="F634CC2A"/>
    <w:lvl w:ilvl="0">
      <w:start w:val="1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845D05"/>
    <w:multiLevelType w:val="multilevel"/>
    <w:tmpl w:val="79B0D8AC"/>
    <w:lvl w:ilvl="0">
      <w:start w:val="14"/>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4"/>
  </w:num>
  <w:num w:numId="3">
    <w:abstractNumId w:val="8"/>
  </w:num>
  <w:num w:numId="4">
    <w:abstractNumId w:val="16"/>
  </w:num>
  <w:num w:numId="5">
    <w:abstractNumId w:val="23"/>
  </w:num>
  <w:num w:numId="6">
    <w:abstractNumId w:val="29"/>
  </w:num>
  <w:num w:numId="7">
    <w:abstractNumId w:val="4"/>
  </w:num>
  <w:num w:numId="8">
    <w:abstractNumId w:val="22"/>
  </w:num>
  <w:num w:numId="9">
    <w:abstractNumId w:val="9"/>
  </w:num>
  <w:num w:numId="10">
    <w:abstractNumId w:val="5"/>
  </w:num>
  <w:num w:numId="11">
    <w:abstractNumId w:val="18"/>
  </w:num>
  <w:num w:numId="12">
    <w:abstractNumId w:val="12"/>
  </w:num>
  <w:num w:numId="13">
    <w:abstractNumId w:val="15"/>
  </w:num>
  <w:num w:numId="14">
    <w:abstractNumId w:val="2"/>
  </w:num>
  <w:num w:numId="15">
    <w:abstractNumId w:val="28"/>
  </w:num>
  <w:num w:numId="16">
    <w:abstractNumId w:val="30"/>
  </w:num>
  <w:num w:numId="17">
    <w:abstractNumId w:val="25"/>
  </w:num>
  <w:num w:numId="18">
    <w:abstractNumId w:val="10"/>
  </w:num>
  <w:num w:numId="19">
    <w:abstractNumId w:val="14"/>
  </w:num>
  <w:num w:numId="20">
    <w:abstractNumId w:val="31"/>
  </w:num>
  <w:num w:numId="21">
    <w:abstractNumId w:val="1"/>
  </w:num>
  <w:num w:numId="22">
    <w:abstractNumId w:val="21"/>
  </w:num>
  <w:num w:numId="23">
    <w:abstractNumId w:val="20"/>
  </w:num>
  <w:num w:numId="24">
    <w:abstractNumId w:val="7"/>
  </w:num>
  <w:num w:numId="25">
    <w:abstractNumId w:val="11"/>
  </w:num>
  <w:num w:numId="26">
    <w:abstractNumId w:val="6"/>
  </w:num>
  <w:num w:numId="27">
    <w:abstractNumId w:val="0"/>
  </w:num>
  <w:num w:numId="28">
    <w:abstractNumId w:val="19"/>
  </w:num>
  <w:num w:numId="29">
    <w:abstractNumId w:val="13"/>
  </w:num>
  <w:num w:numId="30">
    <w:abstractNumId w:val="26"/>
  </w:num>
  <w:num w:numId="31">
    <w:abstractNumId w:val="3"/>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2D"/>
    <w:rsid w:val="00035BA2"/>
    <w:rsid w:val="00040EF0"/>
    <w:rsid w:val="000D481D"/>
    <w:rsid w:val="000E46EC"/>
    <w:rsid w:val="00132AEA"/>
    <w:rsid w:val="00162029"/>
    <w:rsid w:val="00252197"/>
    <w:rsid w:val="00283FA8"/>
    <w:rsid w:val="0029759C"/>
    <w:rsid w:val="002F0077"/>
    <w:rsid w:val="003521A2"/>
    <w:rsid w:val="00362BAC"/>
    <w:rsid w:val="00365F52"/>
    <w:rsid w:val="00483176"/>
    <w:rsid w:val="004D2018"/>
    <w:rsid w:val="00501DC6"/>
    <w:rsid w:val="00532129"/>
    <w:rsid w:val="005B7050"/>
    <w:rsid w:val="005F35E2"/>
    <w:rsid w:val="006007DF"/>
    <w:rsid w:val="006F111E"/>
    <w:rsid w:val="007F452D"/>
    <w:rsid w:val="00872B39"/>
    <w:rsid w:val="00917158"/>
    <w:rsid w:val="009863D9"/>
    <w:rsid w:val="0098725B"/>
    <w:rsid w:val="00994DF9"/>
    <w:rsid w:val="00A65CA3"/>
    <w:rsid w:val="00B927C2"/>
    <w:rsid w:val="00BB263E"/>
    <w:rsid w:val="00BD70C6"/>
    <w:rsid w:val="00C243A8"/>
    <w:rsid w:val="00C33B1A"/>
    <w:rsid w:val="00C52EEB"/>
    <w:rsid w:val="00D10046"/>
    <w:rsid w:val="00D509DA"/>
    <w:rsid w:val="00DA3055"/>
    <w:rsid w:val="00DF7C2B"/>
    <w:rsid w:val="00E42920"/>
    <w:rsid w:val="00E50F9C"/>
    <w:rsid w:val="00E621D7"/>
    <w:rsid w:val="00F46163"/>
    <w:rsid w:val="00F709A3"/>
    <w:rsid w:val="00F84234"/>
    <w:rsid w:val="00FA6302"/>
    <w:rsid w:val="00FC7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DU Kievit Tab" w:eastAsiaTheme="minorHAnsi" w:hAnsi="CDU Kievit Tab"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after="0" w:line="240" w:lineRule="auto"/>
      <w:outlineLvl w:val="0"/>
    </w:pPr>
    <w:rPr>
      <w:rFonts w:ascii="Arial" w:eastAsiaTheme="majorEastAsia" w:hAnsi="Arial" w:cs="Arial"/>
      <w:b/>
      <w:bCs/>
      <w:sz w:val="24"/>
      <w:szCs w:val="24"/>
    </w:rPr>
  </w:style>
  <w:style w:type="paragraph" w:styleId="berschrift2">
    <w:name w:val="heading 2"/>
    <w:basedOn w:val="Standard"/>
    <w:next w:val="Standard"/>
    <w:link w:val="berschrift2Zchn"/>
    <w:uiPriority w:val="9"/>
    <w:unhideWhenUsed/>
    <w:qFormat/>
    <w:pPr>
      <w:keepNext/>
      <w:keepLines/>
      <w:spacing w:after="0" w:line="240" w:lineRule="auto"/>
      <w:outlineLvl w:val="1"/>
    </w:pPr>
    <w:rPr>
      <w:rFonts w:ascii="Arial" w:eastAsiaTheme="majorEastAsia" w:hAnsi="Arial" w:cs="Arial"/>
      <w:b/>
      <w:bCs/>
      <w:sz w:val="24"/>
      <w:szCs w:val="26"/>
    </w:rPr>
  </w:style>
  <w:style w:type="paragraph" w:styleId="berschrift3">
    <w:name w:val="heading 3"/>
    <w:basedOn w:val="Standard"/>
    <w:next w:val="Standard"/>
    <w:link w:val="berschrift3Zchn"/>
    <w:uiPriority w:val="9"/>
    <w:unhideWhenUsed/>
    <w:qFormat/>
    <w:pPr>
      <w:spacing w:after="0" w:line="240" w:lineRule="auto"/>
      <w:jc w:val="both"/>
      <w:outlineLvl w:val="2"/>
    </w:pPr>
    <w:rPr>
      <w:rFonts w:ascii="Arial" w:hAnsi="Arial"/>
      <w:b/>
      <w:sz w:val="24"/>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pPr>
      <w:spacing w:after="160" w:line="259" w:lineRule="auto"/>
      <w:ind w:left="720"/>
      <w:contextualSpacing/>
    </w:pPr>
    <w:rPr>
      <w:rFonts w:asciiTheme="minorHAnsi" w:hAnsiTheme="minorHAnsi"/>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Pr>
      <w:rFonts w:ascii="Arial" w:eastAsiaTheme="majorEastAsia" w:hAnsi="Arial" w:cs="Arial"/>
      <w:b/>
      <w:bCs/>
      <w:sz w:val="24"/>
      <w:szCs w:val="26"/>
    </w:rPr>
  </w:style>
  <w:style w:type="paragraph" w:styleId="Inhaltsverzeichnisberschrift">
    <w:name w:val="TOC Heading"/>
    <w:basedOn w:val="berschrift1"/>
    <w:next w:val="Standard"/>
    <w:uiPriority w:val="39"/>
    <w:semiHidden/>
    <w:unhideWhenUsed/>
    <w:qFormat/>
    <w:pPr>
      <w:spacing w:before="480" w:line="276" w:lineRule="auto"/>
      <w:outlineLvl w:val="9"/>
    </w:pPr>
    <w:rPr>
      <w:rFonts w:asciiTheme="majorHAnsi" w:hAnsiTheme="majorHAnsi" w:cstheme="majorBidi"/>
      <w:color w:val="365F91" w:themeColor="accent1" w:themeShade="BF"/>
      <w:sz w:val="28"/>
      <w:szCs w:val="28"/>
      <w:lang w:eastAsia="de-DE"/>
    </w:rPr>
  </w:style>
  <w:style w:type="paragraph" w:styleId="Verzeichnis2">
    <w:name w:val="toc 2"/>
    <w:basedOn w:val="Standard"/>
    <w:next w:val="Standard"/>
    <w:autoRedefine/>
    <w:uiPriority w:val="39"/>
    <w:unhideWhenUsed/>
    <w:pPr>
      <w:tabs>
        <w:tab w:val="left" w:pos="660"/>
        <w:tab w:val="right" w:leader="dot" w:pos="9062"/>
      </w:tabs>
      <w:spacing w:after="0"/>
      <w:ind w:left="221"/>
    </w:pPr>
    <w:rPr>
      <w:rFonts w:ascii="Arial" w:hAnsi="Arial" w:cs="Arial"/>
      <w:i/>
      <w:iCs/>
      <w:noProof/>
      <w:sz w:val="20"/>
      <w:szCs w:val="20"/>
    </w:rPr>
  </w:style>
  <w:style w:type="paragraph" w:styleId="Verzeichnis1">
    <w:name w:val="toc 1"/>
    <w:basedOn w:val="Standard"/>
    <w:next w:val="Standard"/>
    <w:autoRedefine/>
    <w:uiPriority w:val="39"/>
    <w:unhideWhenUsed/>
    <w:pPr>
      <w:tabs>
        <w:tab w:val="left" w:pos="660"/>
        <w:tab w:val="right" w:leader="dot" w:pos="9062"/>
      </w:tabs>
      <w:spacing w:before="240" w:after="120"/>
      <w:ind w:left="567" w:hanging="567"/>
    </w:pPr>
    <w:rPr>
      <w:rFonts w:asciiTheme="minorHAnsi" w:hAnsiTheme="minorHAnsi"/>
      <w:b/>
      <w:bCs/>
      <w:sz w:val="20"/>
      <w:szCs w:val="20"/>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
    <w:rPr>
      <w:rFonts w:ascii="Arial" w:hAnsi="Arial"/>
      <w:b/>
      <w:sz w:val="24"/>
    </w:rPr>
  </w:style>
  <w:style w:type="paragraph" w:styleId="Verzeichnis3">
    <w:name w:val="toc 3"/>
    <w:basedOn w:val="Standard"/>
    <w:next w:val="Standard"/>
    <w:autoRedefine/>
    <w:uiPriority w:val="39"/>
    <w:unhideWhenUsed/>
    <w:pPr>
      <w:spacing w:after="0"/>
      <w:ind w:left="440"/>
    </w:pPr>
    <w:rPr>
      <w:rFonts w:asciiTheme="minorHAnsi" w:hAnsiTheme="minorHAnsi"/>
      <w:sz w:val="20"/>
      <w:szCs w:val="20"/>
    </w:rPr>
  </w:style>
  <w:style w:type="paragraph" w:styleId="NurText">
    <w:name w:val="Plain Text"/>
    <w:basedOn w:val="Standard"/>
    <w:link w:val="NurTextZchn"/>
    <w:uiPriority w:val="99"/>
    <w:unhideWhenUsed/>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Pr>
      <w:rFonts w:ascii="Calibri" w:eastAsia="Times New Roman" w:hAnsi="Calibri" w:cs="Times New Roman"/>
      <w:szCs w:val="21"/>
      <w:lang w:eastAsia="de-DE"/>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widowControl w:val="0"/>
      <w:pBdr>
        <w:top w:val="nil"/>
        <w:left w:val="nil"/>
        <w:bottom w:val="nil"/>
        <w:right w:val="nil"/>
        <w:between w:val="nil"/>
      </w:pBdr>
      <w:spacing w:line="240" w:lineRule="auto"/>
    </w:pPr>
    <w:rPr>
      <w:rFonts w:ascii="Calibri" w:eastAsia="Calibri" w:hAnsi="Calibri" w:cs="Calibri"/>
      <w:color w:val="000000"/>
      <w:sz w:val="20"/>
      <w:szCs w:val="20"/>
      <w:lang w:eastAsia="de-DE"/>
    </w:rPr>
  </w:style>
  <w:style w:type="character" w:customStyle="1" w:styleId="KommentartextZchn">
    <w:name w:val="Kommentartext Zchn"/>
    <w:basedOn w:val="Absatz-Standardschriftart"/>
    <w:link w:val="Kommentartext"/>
    <w:uiPriority w:val="99"/>
    <w:rPr>
      <w:rFonts w:ascii="Calibri" w:eastAsia="Calibri" w:hAnsi="Calibri" w:cs="Calibri"/>
      <w:color w:val="000000"/>
      <w:sz w:val="20"/>
      <w:szCs w:val="20"/>
      <w:lang w:eastAsia="de-DE"/>
    </w:rPr>
  </w:style>
  <w:style w:type="character" w:customStyle="1" w:styleId="xxt">
    <w:name w:val="xxt"/>
    <w:basedOn w:val="Absatz-Standardschriftart"/>
  </w:style>
  <w:style w:type="paragraph" w:customStyle="1" w:styleId="Text">
    <w:name w:val="Text"/>
    <w:link w:val="TextZchn"/>
    <w:qFormat/>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customStyle="1" w:styleId="TextZchn">
    <w:name w:val="Text Zchn"/>
    <w:basedOn w:val="Absatz-Standardschriftart"/>
    <w:link w:val="Text"/>
    <w:locked/>
    <w:rPr>
      <w:rFonts w:ascii="Helvetica Neue" w:eastAsia="Arial Unicode MS" w:hAnsi="Helvetica Neue" w:cs="Arial Unicode MS"/>
      <w:color w:val="000000"/>
      <w:bdr w:val="nil"/>
      <w:lang w:eastAsia="de-DE"/>
    </w:rPr>
  </w:style>
  <w:style w:type="paragraph" w:customStyle="1" w:styleId="Default">
    <w:name w:val="Default"/>
    <w:pPr>
      <w:keepNext/>
      <w:pBdr>
        <w:top w:val="nil"/>
        <w:left w:val="nil"/>
        <w:bottom w:val="nil"/>
        <w:right w:val="nil"/>
        <w:between w:val="nil"/>
        <w:bar w:val="nil"/>
      </w:pBdr>
    </w:pPr>
    <w:rPr>
      <w:rFonts w:ascii="Calibri" w:eastAsia="Calibri" w:hAnsi="Calibri" w:cs="Calibri"/>
      <w:color w:val="000000"/>
      <w:sz w:val="24"/>
      <w:szCs w:val="24"/>
      <w:u w:color="000000"/>
      <w:bdr w:val="nil"/>
      <w:lang w:eastAsia="de-DE"/>
    </w:rPr>
  </w:style>
  <w:style w:type="character" w:customStyle="1" w:styleId="ListenabsatzZchn">
    <w:name w:val="Listenabsatz Zchn"/>
    <w:link w:val="Listenabsatz"/>
    <w:uiPriority w:val="34"/>
    <w:locked/>
    <w:rPr>
      <w:rFonts w:asciiTheme="minorHAnsi" w:hAnsiTheme="minorHAnsi"/>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Fett">
    <w:name w:val="Strong"/>
    <w:basedOn w:val="Absatz-Standardschriftart"/>
    <w:qFormat/>
    <w:rPr>
      <w:b w:val="0"/>
      <w:bCs/>
      <w:i w:val="0"/>
      <w:u w:val="none"/>
    </w:rPr>
  </w:style>
  <w:style w:type="paragraph" w:customStyle="1" w:styleId="s3">
    <w:name w:val="s3"/>
    <w:basedOn w:val="Standard"/>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customStyle="1" w:styleId="s4">
    <w:name w:val="s4"/>
    <w:basedOn w:val="Absatz-Standardschriftart"/>
  </w:style>
  <w:style w:type="paragraph" w:customStyle="1" w:styleId="Listenabsatz1">
    <w:name w:val="Listenabsatz1"/>
    <w:basedOn w:val="Standard"/>
    <w:pPr>
      <w:suppressAutoHyphens/>
      <w:ind w:left="720"/>
    </w:pPr>
    <w:rPr>
      <w:rFonts w:ascii="Calibri" w:eastAsia="Arial Unicode MS" w:hAnsi="Calibri" w:cs="Calibri"/>
      <w:kern w:val="1"/>
      <w:lang w:eastAsia="ar-SA"/>
    </w:rPr>
  </w:style>
  <w:style w:type="paragraph" w:styleId="KeinLeerraum">
    <w:name w:val="No Spacing"/>
    <w:uiPriority w:val="1"/>
    <w:qFormat/>
    <w:pPr>
      <w:spacing w:after="0" w:line="240" w:lineRule="auto"/>
    </w:pPr>
    <w:rPr>
      <w:rFonts w:asciiTheme="minorHAnsi" w:hAnsiTheme="minorHAnsi"/>
    </w:rPr>
  </w:style>
  <w:style w:type="paragraph" w:customStyle="1" w:styleId="TextA">
    <w:name w:val="Text A"/>
    <w:pPr>
      <w:pBdr>
        <w:top w:val="nil"/>
        <w:left w:val="nil"/>
        <w:bottom w:val="nil"/>
        <w:right w:val="nil"/>
        <w:between w:val="nil"/>
        <w:bar w:val="nil"/>
      </w:pBdr>
      <w:spacing w:after="294" w:line="294" w:lineRule="atLeast"/>
    </w:pPr>
    <w:rPr>
      <w:rFonts w:ascii="Milo Serif Offc" w:eastAsia="Milo Serif Offc" w:hAnsi="Milo Serif Offc" w:cs="Milo Serif Offc"/>
      <w:color w:val="000000"/>
      <w:u w:color="000000"/>
      <w:bdr w:val="nil"/>
      <w:lang w:eastAsia="de-DE"/>
    </w:rPr>
  </w:style>
  <w:style w:type="paragraph" w:customStyle="1" w:styleId="Finger">
    <w:name w:val="Finger"/>
    <w:basedOn w:val="Standard"/>
    <w:pPr>
      <w:spacing w:after="0" w:line="240" w:lineRule="auto"/>
      <w:jc w:val="both"/>
    </w:pPr>
    <w:rPr>
      <w:rFonts w:ascii="Arial" w:hAnsi="Arial" w:cs="Arial"/>
      <w:sz w:val="24"/>
      <w:szCs w:val="24"/>
    </w:rPr>
  </w:style>
  <w:style w:type="paragraph" w:styleId="Verzeichnis4">
    <w:name w:val="toc 4"/>
    <w:basedOn w:val="Standard"/>
    <w:next w:val="Standard"/>
    <w:autoRedefine/>
    <w:uiPriority w:val="39"/>
    <w:unhideWhenUsed/>
    <w:pPr>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pPr>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pPr>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pPr>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pPr>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pPr>
      <w:spacing w:after="0"/>
      <w:ind w:left="1760"/>
    </w:pPr>
    <w:rPr>
      <w:rFonts w:asciiTheme="minorHAnsi" w:hAnsiTheme="minorHAnsi"/>
      <w:sz w:val="20"/>
      <w:szCs w:val="20"/>
    </w:rPr>
  </w:style>
  <w:style w:type="character" w:styleId="Zeilennummer">
    <w:name w:val="line number"/>
    <w:basedOn w:val="Absatz-Standardschriftar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mmentarthema">
    <w:name w:val="annotation subject"/>
    <w:basedOn w:val="Kommentartext"/>
    <w:next w:val="Kommentartext"/>
    <w:link w:val="KommentarthemaZchn"/>
    <w:uiPriority w:val="99"/>
    <w:semiHidden/>
    <w:unhideWhenUsed/>
    <w:pPr>
      <w:widowControl/>
      <w:pBdr>
        <w:top w:val="none" w:sz="0" w:space="0" w:color="auto"/>
        <w:left w:val="none" w:sz="0" w:space="0" w:color="auto"/>
        <w:bottom w:val="none" w:sz="0" w:space="0" w:color="auto"/>
        <w:right w:val="none" w:sz="0" w:space="0" w:color="auto"/>
        <w:between w:val="none" w:sz="0" w:space="0" w:color="auto"/>
      </w:pBdr>
    </w:pPr>
    <w:rPr>
      <w:rFonts w:ascii="CDU Kievit Tab" w:eastAsiaTheme="minorHAnsi" w:hAnsi="CDU Kievit Tab" w:cstheme="minorBidi"/>
      <w:b/>
      <w:bCs/>
      <w:color w:val="auto"/>
      <w:lang w:eastAsia="en-US"/>
    </w:rPr>
  </w:style>
  <w:style w:type="character" w:customStyle="1" w:styleId="KommentarthemaZchn">
    <w:name w:val="Kommentarthema Zchn"/>
    <w:basedOn w:val="KommentartextZchn"/>
    <w:link w:val="Kommentarthema"/>
    <w:uiPriority w:val="99"/>
    <w:semiHidden/>
    <w:rPr>
      <w:rFonts w:ascii="Calibri" w:eastAsia="Calibri" w:hAnsi="Calibri" w:cs="Calibri"/>
      <w:b/>
      <w:bCs/>
      <w:color w:val="000000"/>
      <w:sz w:val="20"/>
      <w:szCs w:val="20"/>
      <w:lang w:eastAsia="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customStyle="1" w:styleId="s8">
    <w:name w:val="s8"/>
    <w:basedOn w:val="Absatz-Standardschriftart"/>
  </w:style>
  <w:style w:type="paragraph" w:styleId="berarbeitung">
    <w:name w:val="Revision"/>
    <w:hidden/>
    <w:uiPriority w:val="99"/>
    <w:semiHidden/>
    <w:rsid w:val="00035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418">
      <w:bodyDiv w:val="1"/>
      <w:marLeft w:val="0"/>
      <w:marRight w:val="0"/>
      <w:marTop w:val="0"/>
      <w:marBottom w:val="0"/>
      <w:divBdr>
        <w:top w:val="none" w:sz="0" w:space="0" w:color="auto"/>
        <w:left w:val="none" w:sz="0" w:space="0" w:color="auto"/>
        <w:bottom w:val="none" w:sz="0" w:space="0" w:color="auto"/>
        <w:right w:val="none" w:sz="0" w:space="0" w:color="auto"/>
      </w:divBdr>
    </w:div>
    <w:div w:id="135534099">
      <w:bodyDiv w:val="1"/>
      <w:marLeft w:val="0"/>
      <w:marRight w:val="0"/>
      <w:marTop w:val="0"/>
      <w:marBottom w:val="0"/>
      <w:divBdr>
        <w:top w:val="none" w:sz="0" w:space="0" w:color="auto"/>
        <w:left w:val="none" w:sz="0" w:space="0" w:color="auto"/>
        <w:bottom w:val="none" w:sz="0" w:space="0" w:color="auto"/>
        <w:right w:val="none" w:sz="0" w:space="0" w:color="auto"/>
      </w:divBdr>
    </w:div>
    <w:div w:id="386226973">
      <w:bodyDiv w:val="1"/>
      <w:marLeft w:val="0"/>
      <w:marRight w:val="0"/>
      <w:marTop w:val="0"/>
      <w:marBottom w:val="0"/>
      <w:divBdr>
        <w:top w:val="none" w:sz="0" w:space="0" w:color="auto"/>
        <w:left w:val="none" w:sz="0" w:space="0" w:color="auto"/>
        <w:bottom w:val="none" w:sz="0" w:space="0" w:color="auto"/>
        <w:right w:val="none" w:sz="0" w:space="0" w:color="auto"/>
      </w:divBdr>
    </w:div>
    <w:div w:id="592399656">
      <w:bodyDiv w:val="1"/>
      <w:marLeft w:val="0"/>
      <w:marRight w:val="0"/>
      <w:marTop w:val="0"/>
      <w:marBottom w:val="0"/>
      <w:divBdr>
        <w:top w:val="none" w:sz="0" w:space="0" w:color="auto"/>
        <w:left w:val="none" w:sz="0" w:space="0" w:color="auto"/>
        <w:bottom w:val="none" w:sz="0" w:space="0" w:color="auto"/>
        <w:right w:val="none" w:sz="0" w:space="0" w:color="auto"/>
      </w:divBdr>
    </w:div>
    <w:div w:id="643780958">
      <w:bodyDiv w:val="1"/>
      <w:marLeft w:val="0"/>
      <w:marRight w:val="0"/>
      <w:marTop w:val="0"/>
      <w:marBottom w:val="0"/>
      <w:divBdr>
        <w:top w:val="none" w:sz="0" w:space="0" w:color="auto"/>
        <w:left w:val="none" w:sz="0" w:space="0" w:color="auto"/>
        <w:bottom w:val="none" w:sz="0" w:space="0" w:color="auto"/>
        <w:right w:val="none" w:sz="0" w:space="0" w:color="auto"/>
      </w:divBdr>
    </w:div>
    <w:div w:id="892736091">
      <w:bodyDiv w:val="1"/>
      <w:marLeft w:val="0"/>
      <w:marRight w:val="0"/>
      <w:marTop w:val="0"/>
      <w:marBottom w:val="0"/>
      <w:divBdr>
        <w:top w:val="none" w:sz="0" w:space="0" w:color="auto"/>
        <w:left w:val="none" w:sz="0" w:space="0" w:color="auto"/>
        <w:bottom w:val="none" w:sz="0" w:space="0" w:color="auto"/>
        <w:right w:val="none" w:sz="0" w:space="0" w:color="auto"/>
      </w:divBdr>
    </w:div>
    <w:div w:id="930354906">
      <w:bodyDiv w:val="1"/>
      <w:marLeft w:val="0"/>
      <w:marRight w:val="0"/>
      <w:marTop w:val="0"/>
      <w:marBottom w:val="0"/>
      <w:divBdr>
        <w:top w:val="none" w:sz="0" w:space="0" w:color="auto"/>
        <w:left w:val="none" w:sz="0" w:space="0" w:color="auto"/>
        <w:bottom w:val="none" w:sz="0" w:space="0" w:color="auto"/>
        <w:right w:val="none" w:sz="0" w:space="0" w:color="auto"/>
      </w:divBdr>
    </w:div>
    <w:div w:id="982657992">
      <w:bodyDiv w:val="1"/>
      <w:marLeft w:val="0"/>
      <w:marRight w:val="0"/>
      <w:marTop w:val="0"/>
      <w:marBottom w:val="0"/>
      <w:divBdr>
        <w:top w:val="none" w:sz="0" w:space="0" w:color="auto"/>
        <w:left w:val="none" w:sz="0" w:space="0" w:color="auto"/>
        <w:bottom w:val="none" w:sz="0" w:space="0" w:color="auto"/>
        <w:right w:val="none" w:sz="0" w:space="0" w:color="auto"/>
      </w:divBdr>
    </w:div>
    <w:div w:id="1449354174">
      <w:bodyDiv w:val="1"/>
      <w:marLeft w:val="0"/>
      <w:marRight w:val="0"/>
      <w:marTop w:val="0"/>
      <w:marBottom w:val="0"/>
      <w:divBdr>
        <w:top w:val="none" w:sz="0" w:space="0" w:color="auto"/>
        <w:left w:val="none" w:sz="0" w:space="0" w:color="auto"/>
        <w:bottom w:val="none" w:sz="0" w:space="0" w:color="auto"/>
        <w:right w:val="none" w:sz="0" w:space="0" w:color="auto"/>
      </w:divBdr>
    </w:div>
    <w:div w:id="1455446771">
      <w:bodyDiv w:val="1"/>
      <w:marLeft w:val="0"/>
      <w:marRight w:val="0"/>
      <w:marTop w:val="0"/>
      <w:marBottom w:val="0"/>
      <w:divBdr>
        <w:top w:val="none" w:sz="0" w:space="0" w:color="auto"/>
        <w:left w:val="none" w:sz="0" w:space="0" w:color="auto"/>
        <w:bottom w:val="none" w:sz="0" w:space="0" w:color="auto"/>
        <w:right w:val="none" w:sz="0" w:space="0" w:color="auto"/>
      </w:divBdr>
    </w:div>
    <w:div w:id="1527907771">
      <w:bodyDiv w:val="1"/>
      <w:marLeft w:val="0"/>
      <w:marRight w:val="0"/>
      <w:marTop w:val="0"/>
      <w:marBottom w:val="0"/>
      <w:divBdr>
        <w:top w:val="none" w:sz="0" w:space="0" w:color="auto"/>
        <w:left w:val="none" w:sz="0" w:space="0" w:color="auto"/>
        <w:bottom w:val="none" w:sz="0" w:space="0" w:color="auto"/>
        <w:right w:val="none" w:sz="0" w:space="0" w:color="auto"/>
      </w:divBdr>
    </w:div>
    <w:div w:id="1573154320">
      <w:bodyDiv w:val="1"/>
      <w:marLeft w:val="0"/>
      <w:marRight w:val="0"/>
      <w:marTop w:val="0"/>
      <w:marBottom w:val="0"/>
      <w:divBdr>
        <w:top w:val="none" w:sz="0" w:space="0" w:color="auto"/>
        <w:left w:val="none" w:sz="0" w:space="0" w:color="auto"/>
        <w:bottom w:val="none" w:sz="0" w:space="0" w:color="auto"/>
        <w:right w:val="none" w:sz="0" w:space="0" w:color="auto"/>
      </w:divBdr>
    </w:div>
    <w:div w:id="1831868972">
      <w:bodyDiv w:val="1"/>
      <w:marLeft w:val="0"/>
      <w:marRight w:val="0"/>
      <w:marTop w:val="0"/>
      <w:marBottom w:val="0"/>
      <w:divBdr>
        <w:top w:val="none" w:sz="0" w:space="0" w:color="auto"/>
        <w:left w:val="none" w:sz="0" w:space="0" w:color="auto"/>
        <w:bottom w:val="none" w:sz="0" w:space="0" w:color="auto"/>
        <w:right w:val="none" w:sz="0" w:space="0" w:color="auto"/>
      </w:divBdr>
    </w:div>
    <w:div w:id="1884554602">
      <w:bodyDiv w:val="1"/>
      <w:marLeft w:val="0"/>
      <w:marRight w:val="0"/>
      <w:marTop w:val="0"/>
      <w:marBottom w:val="0"/>
      <w:divBdr>
        <w:top w:val="none" w:sz="0" w:space="0" w:color="auto"/>
        <w:left w:val="none" w:sz="0" w:space="0" w:color="auto"/>
        <w:bottom w:val="none" w:sz="0" w:space="0" w:color="auto"/>
        <w:right w:val="none" w:sz="0" w:space="0" w:color="auto"/>
      </w:divBdr>
    </w:div>
    <w:div w:id="2061200504">
      <w:bodyDiv w:val="1"/>
      <w:marLeft w:val="0"/>
      <w:marRight w:val="0"/>
      <w:marTop w:val="0"/>
      <w:marBottom w:val="0"/>
      <w:divBdr>
        <w:top w:val="none" w:sz="0" w:space="0" w:color="auto"/>
        <w:left w:val="none" w:sz="0" w:space="0" w:color="auto"/>
        <w:bottom w:val="none" w:sz="0" w:space="0" w:color="auto"/>
        <w:right w:val="none" w:sz="0" w:space="0" w:color="auto"/>
      </w:divBdr>
    </w:div>
    <w:div w:id="21347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bensmittelwarnung.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DCD9-1CEB-4710-A705-1E0D0C34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71146</Words>
  <Characters>448223</Characters>
  <Application>Microsoft Office Word</Application>
  <DocSecurity>0</DocSecurity>
  <Lines>3735</Lines>
  <Paragraphs>1036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2018-03-13T15:03:00Z</dcterms:created>
  <dcterms:modified xsi:type="dcterms:W3CDTF">2018-03-13T15:03:00Z</dcterms:modified>
</cp:coreProperties>
</file>